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19" w:rsidRPr="00A127BB" w:rsidRDefault="00B01619" w:rsidP="00B01619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117/2020. (V.28.</w:t>
      </w:r>
      <w:r>
        <w:rPr>
          <w:b/>
        </w:rPr>
        <w:t>) polgármesteri</w:t>
      </w:r>
    </w:p>
    <w:p w:rsidR="00B01619" w:rsidRPr="00A127BB" w:rsidRDefault="00B01619" w:rsidP="00B01619">
      <w:pPr>
        <w:autoSpaceDE w:val="0"/>
        <w:autoSpaceDN w:val="0"/>
        <w:adjustRightInd w:val="0"/>
        <w:contextualSpacing/>
        <w:jc w:val="both"/>
      </w:pPr>
    </w:p>
    <w:p w:rsidR="00B01619" w:rsidRPr="00A127BB" w:rsidRDefault="00B01619" w:rsidP="00B01619">
      <w:pPr>
        <w:autoSpaceDE w:val="0"/>
        <w:autoSpaceDN w:val="0"/>
        <w:adjustRightInd w:val="0"/>
        <w:contextualSpacing/>
        <w:jc w:val="both"/>
      </w:pPr>
      <w:r>
        <w:rPr>
          <w:b/>
          <w:u w:val="single"/>
        </w:rPr>
        <w:t>H a t á r o z a t</w:t>
      </w:r>
      <w:bookmarkStart w:id="0" w:name="_GoBack"/>
      <w:bookmarkEnd w:id="0"/>
    </w:p>
    <w:p w:rsidR="00B01619" w:rsidRPr="00A127BB" w:rsidRDefault="00B01619" w:rsidP="00B01619">
      <w:pPr>
        <w:autoSpaceDE w:val="0"/>
        <w:autoSpaceDN w:val="0"/>
        <w:adjustRightInd w:val="0"/>
        <w:contextualSpacing/>
        <w:jc w:val="both"/>
      </w:pPr>
    </w:p>
    <w:p w:rsidR="00B01619" w:rsidRDefault="00B01619" w:rsidP="00B01619">
      <w:pPr>
        <w:jc w:val="both"/>
        <w:rPr>
          <w:b/>
        </w:rPr>
      </w:pPr>
      <w:proofErr w:type="gramStart"/>
      <w:r w:rsidRPr="00A127BB">
        <w:rPr>
          <w:b/>
        </w:rPr>
        <w:t>a</w:t>
      </w:r>
      <w:proofErr w:type="gramEnd"/>
      <w:r w:rsidRPr="00A127BB">
        <w:rPr>
          <w:b/>
        </w:rPr>
        <w:t xml:space="preserve"> </w:t>
      </w:r>
      <w:r>
        <w:rPr>
          <w:b/>
        </w:rPr>
        <w:t>Törökszentmiklósi Kommunális</w:t>
      </w:r>
      <w:r w:rsidRPr="00A127BB">
        <w:rPr>
          <w:b/>
        </w:rPr>
        <w:t xml:space="preserve"> Szolgáltató Nonprofit Kft</w:t>
      </w:r>
      <w:r>
        <w:rPr>
          <w:b/>
        </w:rPr>
        <w:t>. ügyvezetőjének teljesítménybér kifizetéséről</w:t>
      </w:r>
    </w:p>
    <w:p w:rsidR="00B01619" w:rsidRDefault="00B01619" w:rsidP="00B01619">
      <w:pPr>
        <w:jc w:val="both"/>
      </w:pPr>
    </w:p>
    <w:p w:rsidR="00B01619" w:rsidRPr="009F2588" w:rsidRDefault="00B01619" w:rsidP="00B01619">
      <w:pPr>
        <w:jc w:val="both"/>
      </w:pPr>
      <w:r w:rsidRPr="009F2588">
        <w:t>Törökszentmiklós Város Polgármestere a katasztrófavédelemről és a hozzá kapcsolódó egyes törvények módosításáról szóló 2011. évi CXXVIII. törvény 46. § (4) bekezdésére és a veszélyhelyzet kihirdetéséről szóló 40/2020. (III. 11.) Korm. rendeletre figyelemmel az alábbi határozatot hozza:</w:t>
      </w:r>
    </w:p>
    <w:p w:rsidR="00B01619" w:rsidRPr="00E10DD2" w:rsidRDefault="00B01619" w:rsidP="00B01619">
      <w:pPr>
        <w:jc w:val="both"/>
      </w:pPr>
    </w:p>
    <w:p w:rsidR="00B01619" w:rsidRPr="00A127BB" w:rsidRDefault="00B01619" w:rsidP="00B01619">
      <w:pPr>
        <w:jc w:val="both"/>
        <w:rPr>
          <w:b/>
        </w:rPr>
      </w:pPr>
    </w:p>
    <w:p w:rsidR="00B01619" w:rsidRPr="00A127BB" w:rsidRDefault="00B01619" w:rsidP="00B01619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Markót Imre polgármester az ügyvezető teljesítménykövetelmény teljesítéséről a határozat mellékletében szereplő önértékelést elfogadta.</w:t>
      </w:r>
    </w:p>
    <w:p w:rsidR="00B01619" w:rsidRPr="00A127BB" w:rsidRDefault="00B01619" w:rsidP="00B01619">
      <w:pPr>
        <w:pStyle w:val="Nincstrkz"/>
        <w:ind w:left="720"/>
        <w:jc w:val="both"/>
        <w:rPr>
          <w:rFonts w:ascii="Times New Roman" w:hAnsi="Times New Roman"/>
        </w:rPr>
      </w:pPr>
    </w:p>
    <w:p w:rsidR="00B01619" w:rsidRPr="00A127BB" w:rsidRDefault="00B01619" w:rsidP="00B01619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Markót Imre polgármester az ügyvezető részére bruttó 619.525 Ft prémium kifizetéséhez hozzájárul.</w:t>
      </w:r>
    </w:p>
    <w:p w:rsidR="00B01619" w:rsidRPr="00A127BB" w:rsidRDefault="00B01619" w:rsidP="00B01619">
      <w:pPr>
        <w:pStyle w:val="Listaszerbekezds"/>
      </w:pPr>
    </w:p>
    <w:p w:rsidR="00B01619" w:rsidRPr="00A127BB" w:rsidRDefault="00B01619" w:rsidP="00B01619">
      <w:pPr>
        <w:jc w:val="both"/>
      </w:pPr>
    </w:p>
    <w:p w:rsidR="00B01619" w:rsidRPr="00A127BB" w:rsidRDefault="00B01619" w:rsidP="00B01619">
      <w:pPr>
        <w:ind w:left="709"/>
      </w:pPr>
      <w:r w:rsidRPr="00A127BB">
        <w:rPr>
          <w:u w:val="single"/>
        </w:rPr>
        <w:t>Felelős</w:t>
      </w:r>
      <w:r w:rsidRPr="00A127BB">
        <w:t xml:space="preserve">: </w:t>
      </w:r>
      <w:r w:rsidRPr="00A127BB">
        <w:tab/>
      </w:r>
      <w:r>
        <w:t>Törökszentmiklósi Kommunális és Szolgáltató Nonprofit Kft.</w:t>
      </w:r>
    </w:p>
    <w:p w:rsidR="00B01619" w:rsidRPr="00A127BB" w:rsidRDefault="00B01619" w:rsidP="00B01619">
      <w:pPr>
        <w:ind w:left="709"/>
      </w:pPr>
      <w:r w:rsidRPr="00A127BB">
        <w:rPr>
          <w:u w:val="single"/>
        </w:rPr>
        <w:t>Határidő</w:t>
      </w:r>
      <w:r w:rsidRPr="00A127BB">
        <w:t>:</w:t>
      </w:r>
      <w:r w:rsidRPr="00A127BB">
        <w:tab/>
      </w:r>
      <w:r>
        <w:t>2020. június 30.</w:t>
      </w:r>
    </w:p>
    <w:p w:rsidR="00B01619" w:rsidRDefault="00B01619" w:rsidP="00B01619">
      <w:pPr>
        <w:jc w:val="both"/>
      </w:pPr>
    </w:p>
    <w:p w:rsidR="00B01619" w:rsidRDefault="00B01619" w:rsidP="00B01619">
      <w:pPr>
        <w:jc w:val="center"/>
      </w:pPr>
      <w:proofErr w:type="spellStart"/>
      <w:r>
        <w:t>Kmf</w:t>
      </w:r>
      <w:proofErr w:type="spellEnd"/>
      <w:r>
        <w:t>.</w:t>
      </w:r>
    </w:p>
    <w:p w:rsidR="00B01619" w:rsidRDefault="00B01619" w:rsidP="00B01619">
      <w:pPr>
        <w:jc w:val="center"/>
      </w:pPr>
    </w:p>
    <w:p w:rsidR="00B01619" w:rsidRDefault="00B01619" w:rsidP="00B01619"/>
    <w:p w:rsidR="00B01619" w:rsidRDefault="00B01619" w:rsidP="00B01619"/>
    <w:p w:rsidR="00B01619" w:rsidRDefault="00B01619" w:rsidP="00B016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Markót Imre</w:t>
      </w:r>
    </w:p>
    <w:p w:rsidR="00B01619" w:rsidRDefault="00B01619" w:rsidP="00B016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B01619" w:rsidRDefault="00B01619" w:rsidP="00B01619"/>
    <w:p w:rsidR="00B01619" w:rsidRDefault="00B01619" w:rsidP="00B01619"/>
    <w:p w:rsidR="00B01619" w:rsidRPr="00A127BB" w:rsidRDefault="00B01619" w:rsidP="00B01619">
      <w:pPr>
        <w:jc w:val="both"/>
      </w:pPr>
    </w:p>
    <w:p w:rsidR="00B01619" w:rsidRPr="00A127BB" w:rsidRDefault="00B01619" w:rsidP="00B01619">
      <w:pPr>
        <w:ind w:left="709"/>
        <w:jc w:val="both"/>
        <w:rPr>
          <w:u w:val="single"/>
        </w:rPr>
      </w:pPr>
      <w:r w:rsidRPr="00A127BB">
        <w:rPr>
          <w:u w:val="single"/>
        </w:rPr>
        <w:t>Erről értesülnek:</w:t>
      </w:r>
    </w:p>
    <w:p w:rsidR="00B01619" w:rsidRPr="00A127BB" w:rsidRDefault="00B01619" w:rsidP="00B01619">
      <w:pPr>
        <w:numPr>
          <w:ilvl w:val="0"/>
          <w:numId w:val="1"/>
        </w:numPr>
        <w:tabs>
          <w:tab w:val="num" w:pos="1428"/>
        </w:tabs>
        <w:ind w:left="1418"/>
        <w:jc w:val="both"/>
      </w:pPr>
      <w:smartTag w:uri="urn:schemas-microsoft-com:office:smarttags" w:element="PersonName">
        <w:smartTagPr>
          <w:attr w:name="ProductID" w:val="Mark￳t Imre"/>
        </w:smartTagPr>
        <w:r w:rsidRPr="00A127BB">
          <w:t>Markót Imre</w:t>
        </w:r>
      </w:smartTag>
      <w:r w:rsidRPr="00A127BB">
        <w:t xml:space="preserve"> polgármester</w:t>
      </w:r>
    </w:p>
    <w:p w:rsidR="00B01619" w:rsidRPr="00A127BB" w:rsidRDefault="00B01619" w:rsidP="00B01619">
      <w:pPr>
        <w:numPr>
          <w:ilvl w:val="0"/>
          <w:numId w:val="1"/>
        </w:numPr>
        <w:tabs>
          <w:tab w:val="clear" w:pos="360"/>
          <w:tab w:val="num" w:pos="720"/>
        </w:tabs>
        <w:ind w:left="1418"/>
        <w:jc w:val="both"/>
      </w:pPr>
      <w:r w:rsidRPr="00A127BB">
        <w:t xml:space="preserve">Dr. </w:t>
      </w:r>
      <w:r>
        <w:t>Rimóczi Imre</w:t>
      </w:r>
      <w:r w:rsidRPr="00A127BB">
        <w:t xml:space="preserve"> jegyző</w:t>
      </w:r>
    </w:p>
    <w:p w:rsidR="00B01619" w:rsidRDefault="00B01619" w:rsidP="00B01619">
      <w:pPr>
        <w:numPr>
          <w:ilvl w:val="0"/>
          <w:numId w:val="1"/>
        </w:numPr>
        <w:tabs>
          <w:tab w:val="clear" w:pos="360"/>
          <w:tab w:val="num" w:pos="720"/>
        </w:tabs>
        <w:ind w:left="1418"/>
        <w:jc w:val="both"/>
      </w:pPr>
      <w:r w:rsidRPr="00A127BB">
        <w:t xml:space="preserve">Törökszentmiklósi Kommunális </w:t>
      </w:r>
      <w:r>
        <w:t xml:space="preserve">Szolgáltató </w:t>
      </w:r>
      <w:r w:rsidRPr="00A127BB">
        <w:t>Nonprofit Kft</w:t>
      </w:r>
    </w:p>
    <w:p w:rsidR="00B01619" w:rsidRPr="00A127BB" w:rsidRDefault="00B01619" w:rsidP="00B01619">
      <w:pPr>
        <w:numPr>
          <w:ilvl w:val="0"/>
          <w:numId w:val="1"/>
        </w:numPr>
        <w:tabs>
          <w:tab w:val="clear" w:pos="360"/>
          <w:tab w:val="num" w:pos="720"/>
        </w:tabs>
        <w:ind w:left="1418"/>
        <w:jc w:val="both"/>
      </w:pPr>
      <w:r w:rsidRPr="00A127BB">
        <w:t xml:space="preserve">Törökszentmiklósi Kommunális </w:t>
      </w:r>
      <w:r>
        <w:t xml:space="preserve">Szolgáltató </w:t>
      </w:r>
      <w:r w:rsidRPr="00A127BB">
        <w:t>Nonprofit Kft</w:t>
      </w:r>
      <w:r>
        <w:t xml:space="preserve"> felügyelő bizottságának tagjai</w:t>
      </w:r>
    </w:p>
    <w:p w:rsidR="00B01619" w:rsidRPr="00A127BB" w:rsidRDefault="00B01619" w:rsidP="00B01619">
      <w:pPr>
        <w:numPr>
          <w:ilvl w:val="0"/>
          <w:numId w:val="1"/>
        </w:numPr>
        <w:tabs>
          <w:tab w:val="clear" w:pos="360"/>
          <w:tab w:val="num" w:pos="720"/>
        </w:tabs>
        <w:ind w:left="1418"/>
        <w:jc w:val="both"/>
      </w:pPr>
      <w:r w:rsidRPr="00A127BB">
        <w:t>Közpénzügyi osztály</w:t>
      </w:r>
    </w:p>
    <w:p w:rsidR="00B01619" w:rsidRDefault="00B01619" w:rsidP="00B01619">
      <w:pPr>
        <w:numPr>
          <w:ilvl w:val="0"/>
          <w:numId w:val="1"/>
        </w:numPr>
        <w:tabs>
          <w:tab w:val="clear" w:pos="360"/>
          <w:tab w:val="num" w:pos="720"/>
        </w:tabs>
        <w:ind w:left="1418"/>
        <w:jc w:val="both"/>
      </w:pPr>
      <w:r w:rsidRPr="00A127BB">
        <w:t>Irattár</w:t>
      </w:r>
    </w:p>
    <w:p w:rsidR="00B01619" w:rsidRDefault="00B01619" w:rsidP="00B01619">
      <w:pPr>
        <w:jc w:val="both"/>
      </w:pPr>
    </w:p>
    <w:p w:rsidR="00B01619" w:rsidRDefault="00B01619" w:rsidP="00B01619">
      <w:pPr>
        <w:jc w:val="both"/>
      </w:pPr>
    </w:p>
    <w:p w:rsidR="00B01619" w:rsidRDefault="00B01619" w:rsidP="00B01619">
      <w:pPr>
        <w:jc w:val="both"/>
      </w:pPr>
    </w:p>
    <w:p w:rsidR="00B01619" w:rsidRDefault="00B01619" w:rsidP="00B01619">
      <w:pPr>
        <w:jc w:val="both"/>
      </w:pPr>
      <w:r>
        <w:br w:type="page"/>
      </w:r>
    </w:p>
    <w:p w:rsidR="00B01619" w:rsidRPr="00A127BB" w:rsidRDefault="00B01619" w:rsidP="00B01619">
      <w:pPr>
        <w:autoSpaceDE w:val="0"/>
        <w:autoSpaceDN w:val="0"/>
        <w:adjustRightInd w:val="0"/>
        <w:contextualSpacing/>
        <w:jc w:val="right"/>
        <w:rPr>
          <w:b/>
        </w:rPr>
      </w:pPr>
      <w:r>
        <w:rPr>
          <w:b/>
        </w:rPr>
        <w:lastRenderedPageBreak/>
        <w:t>117/2020. (V.28.</w:t>
      </w:r>
      <w:r>
        <w:rPr>
          <w:b/>
        </w:rPr>
        <w:t>) polgármesteri határozat melléklete</w:t>
      </w:r>
    </w:p>
    <w:p w:rsidR="00B01619" w:rsidRDefault="00B01619" w:rsidP="00B01619">
      <w:pPr>
        <w:jc w:val="center"/>
        <w:rPr>
          <w:b/>
        </w:rPr>
      </w:pPr>
    </w:p>
    <w:p w:rsidR="00B01619" w:rsidRDefault="00B01619" w:rsidP="00B01619">
      <w:pPr>
        <w:jc w:val="center"/>
        <w:rPr>
          <w:b/>
        </w:rPr>
      </w:pPr>
    </w:p>
    <w:p w:rsidR="00B01619" w:rsidRDefault="00B01619" w:rsidP="00B01619">
      <w:pPr>
        <w:jc w:val="center"/>
        <w:rPr>
          <w:b/>
        </w:rPr>
      </w:pPr>
    </w:p>
    <w:p w:rsidR="00B01619" w:rsidRDefault="00B01619" w:rsidP="00B01619">
      <w:pPr>
        <w:jc w:val="center"/>
        <w:rPr>
          <w:b/>
        </w:rPr>
      </w:pPr>
      <w:r>
        <w:rPr>
          <w:b/>
        </w:rPr>
        <w:t>ÖNÉRTÉKELÉS</w:t>
      </w:r>
    </w:p>
    <w:p w:rsidR="00B01619" w:rsidRPr="00A0585C" w:rsidRDefault="00B01619" w:rsidP="00B01619">
      <w:pPr>
        <w:jc w:val="center"/>
        <w:rPr>
          <w:b/>
        </w:rPr>
      </w:pPr>
      <w:r>
        <w:rPr>
          <w:b/>
        </w:rPr>
        <w:t>Róth Ervin ügyvezető igazgató</w:t>
      </w:r>
    </w:p>
    <w:p w:rsidR="00B01619" w:rsidRDefault="00B01619" w:rsidP="00B01619">
      <w:pPr>
        <w:jc w:val="center"/>
        <w:rPr>
          <w:b/>
        </w:rPr>
      </w:pPr>
      <w:proofErr w:type="gramStart"/>
      <w:r>
        <w:rPr>
          <w:b/>
        </w:rPr>
        <w:t>teljesítménykövetelmény</w:t>
      </w:r>
      <w:proofErr w:type="gramEnd"/>
      <w:r>
        <w:rPr>
          <w:b/>
        </w:rPr>
        <w:t xml:space="preserve"> teljesítéséről</w:t>
      </w:r>
    </w:p>
    <w:p w:rsidR="00B01619" w:rsidRDefault="00B01619" w:rsidP="00B01619">
      <w:pPr>
        <w:jc w:val="center"/>
      </w:pPr>
    </w:p>
    <w:p w:rsidR="00B01619" w:rsidRPr="005038DB" w:rsidRDefault="00B01619" w:rsidP="00B01619">
      <w:pPr>
        <w:jc w:val="center"/>
      </w:pPr>
    </w:p>
    <w:p w:rsidR="00B01619" w:rsidRDefault="00B01619" w:rsidP="00B01619">
      <w:pPr>
        <w:numPr>
          <w:ilvl w:val="0"/>
          <w:numId w:val="4"/>
        </w:numPr>
        <w:tabs>
          <w:tab w:val="clear" w:pos="720"/>
          <w:tab w:val="num" w:pos="284"/>
          <w:tab w:val="left" w:pos="8647"/>
          <w:tab w:val="right" w:pos="907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A Törökszentmiklósi Kommunális Szolgáltató Nonprofit Kft., ügyvezető igazgatója Róth Ervin részére 2019. évre vonatkozó teljesítménybért megalapozó teljesítménykövetelményeket határoz meg, melynek teljesítése esetén az éves teljesítménybér 1 500 000 Ft.</w:t>
      </w:r>
    </w:p>
    <w:p w:rsidR="00B01619" w:rsidRDefault="00B01619" w:rsidP="00B01619">
      <w:pPr>
        <w:tabs>
          <w:tab w:val="left" w:pos="8647"/>
          <w:tab w:val="right" w:pos="9072"/>
        </w:tabs>
        <w:ind w:left="284"/>
        <w:jc w:val="both"/>
      </w:pPr>
    </w:p>
    <w:p w:rsidR="00B01619" w:rsidRDefault="00B01619" w:rsidP="00B01619">
      <w:pPr>
        <w:tabs>
          <w:tab w:val="left" w:pos="7938"/>
          <w:tab w:val="right" w:pos="9498"/>
        </w:tabs>
        <w:ind w:left="284"/>
        <w:jc w:val="center"/>
      </w:pPr>
      <w:r w:rsidRPr="00BE72B5">
        <w:rPr>
          <w:u w:val="single"/>
        </w:rPr>
        <w:t xml:space="preserve">Teljesítménykövetelmények </w:t>
      </w:r>
      <w:r>
        <w:rPr>
          <w:u w:val="single"/>
        </w:rPr>
        <w:t>várható teljesítéséről</w:t>
      </w:r>
      <w:r>
        <w:t>:</w:t>
      </w:r>
      <w:r>
        <w:tab/>
        <w:t>teljesítménybér</w:t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7796"/>
        <w:gridCol w:w="1559"/>
      </w:tblGrid>
      <w:tr w:rsidR="00B01619" w:rsidTr="00023EEF">
        <w:tc>
          <w:tcPr>
            <w:tcW w:w="7796" w:type="dxa"/>
          </w:tcPr>
          <w:p w:rsidR="00B01619" w:rsidRDefault="00B01619" w:rsidP="00023EEF">
            <w:pPr>
              <w:numPr>
                <w:ilvl w:val="0"/>
                <w:numId w:val="3"/>
              </w:numPr>
              <w:tabs>
                <w:tab w:val="clear" w:pos="1322"/>
                <w:tab w:val="num" w:pos="318"/>
                <w:tab w:val="left" w:pos="2302"/>
                <w:tab w:val="right" w:pos="9072"/>
              </w:tabs>
              <w:overflowPunct w:val="0"/>
              <w:autoSpaceDE w:val="0"/>
              <w:autoSpaceDN w:val="0"/>
              <w:adjustRightInd w:val="0"/>
              <w:ind w:left="318" w:hanging="284"/>
              <w:jc w:val="both"/>
              <w:textAlignment w:val="baseline"/>
            </w:pPr>
            <w:r w:rsidRPr="00824517">
              <w:rPr>
                <w:u w:val="single"/>
              </w:rPr>
              <w:t>Követelmény</w:t>
            </w:r>
            <w:r>
              <w:t xml:space="preserve">: </w:t>
            </w:r>
            <w:r w:rsidRPr="009E4D0F">
              <w:t>A Társaság a városüzemeltetési feladatok ellátása eseten, amelyeknél jellemző módon az Önkormányzat a megrendelő, a nyereség növelése a követelmény. Az egyes tevékenységek nyereségét az árbevétel és a közvetlen valamint árbevétel arányosan ráosztott közvetett költségek kü</w:t>
            </w:r>
            <w:r>
              <w:t>lönbözeteként kell meghatározni.</w:t>
            </w:r>
          </w:p>
          <w:p w:rsidR="00B01619" w:rsidRDefault="00B01619" w:rsidP="00023EEF">
            <w:pPr>
              <w:tabs>
                <w:tab w:val="left" w:pos="2302"/>
                <w:tab w:val="right" w:pos="9072"/>
              </w:tabs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</w:pPr>
            <w:r w:rsidRPr="009E4D0F">
              <w:rPr>
                <w:u w:val="single"/>
              </w:rPr>
              <w:t>Mértéke</w:t>
            </w:r>
            <w:r w:rsidRPr="009E4D0F">
              <w:t>: A városüzemeltetési feladatok tekintetében az üzleti tervhez képest elért nyereség növekedés százalékos mértékének 75 000-szeresében kerül megállapításra, maximum 750 000 Ft.</w:t>
            </w:r>
          </w:p>
          <w:p w:rsidR="00B01619" w:rsidRDefault="00B01619" w:rsidP="00023EEF">
            <w:pPr>
              <w:tabs>
                <w:tab w:val="left" w:pos="2302"/>
                <w:tab w:val="right" w:pos="9072"/>
              </w:tabs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</w:pPr>
            <w:r>
              <w:rPr>
                <w:u w:val="single"/>
              </w:rPr>
              <w:t>T</w:t>
            </w:r>
            <w:r w:rsidRPr="003527A0">
              <w:rPr>
                <w:u w:val="single"/>
              </w:rPr>
              <w:t>eljesítés</w:t>
            </w:r>
            <w:r>
              <w:t xml:space="preserve">: A Társaság a városüzemeltetési feladatok ellátása esetén, az egyes tevékenységek nyereségét az árbevétel és a közvetlen valamint árbevétel arányosan ráosztott közvetett költségek különbözeteként kell meghatározni. Az éves beszámolója alapján a tevékenységek tervben meghatározott nyeresége (–) 6.517 </w:t>
            </w:r>
            <w:proofErr w:type="spellStart"/>
            <w:r>
              <w:t>eFt</w:t>
            </w:r>
            <w:proofErr w:type="spellEnd"/>
            <w:r>
              <w:t xml:space="preserve">, amely 370 </w:t>
            </w:r>
            <w:proofErr w:type="spellStart"/>
            <w:r>
              <w:t>eFt</w:t>
            </w:r>
            <w:proofErr w:type="spellEnd"/>
            <w:r>
              <w:t xml:space="preserve"> veszteséget mutat, amely 941%-os növekedést mutat, így a maximális mértékben kerül figyelembe vételre: </w:t>
            </w:r>
          </w:p>
          <w:p w:rsidR="00B01619" w:rsidRDefault="00B01619" w:rsidP="00023EEF">
            <w:pPr>
              <w:tabs>
                <w:tab w:val="left" w:pos="2302"/>
                <w:tab w:val="right" w:pos="9072"/>
              </w:tabs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</w:pPr>
          </w:p>
        </w:tc>
        <w:tc>
          <w:tcPr>
            <w:tcW w:w="1559" w:type="dxa"/>
          </w:tcPr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  <w:r>
              <w:t>750.000 Ft</w:t>
            </w:r>
          </w:p>
        </w:tc>
      </w:tr>
      <w:tr w:rsidR="00B01619" w:rsidTr="00023EEF">
        <w:tc>
          <w:tcPr>
            <w:tcW w:w="7796" w:type="dxa"/>
          </w:tcPr>
          <w:p w:rsidR="00B01619" w:rsidRDefault="00B01619" w:rsidP="00023EEF">
            <w:pPr>
              <w:numPr>
                <w:ilvl w:val="0"/>
                <w:numId w:val="3"/>
              </w:numPr>
              <w:tabs>
                <w:tab w:val="clear" w:pos="1322"/>
                <w:tab w:val="num" w:pos="318"/>
                <w:tab w:val="left" w:pos="6521"/>
                <w:tab w:val="right" w:pos="9072"/>
              </w:tabs>
              <w:overflowPunct w:val="0"/>
              <w:autoSpaceDE w:val="0"/>
              <w:autoSpaceDN w:val="0"/>
              <w:adjustRightInd w:val="0"/>
              <w:ind w:left="318" w:hanging="284"/>
              <w:jc w:val="both"/>
              <w:textAlignment w:val="baseline"/>
            </w:pPr>
            <w:r>
              <w:t>Azon feltételek, amelyeknél a Társaság 2019. évi üzleti tervében szereplő adatok az irányadóak:</w:t>
            </w:r>
          </w:p>
          <w:p w:rsidR="00B01619" w:rsidRDefault="00B01619" w:rsidP="00023EEF">
            <w:pPr>
              <w:numPr>
                <w:ilvl w:val="0"/>
                <w:numId w:val="5"/>
              </w:numPr>
              <w:tabs>
                <w:tab w:val="left" w:pos="742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4517">
              <w:rPr>
                <w:u w:val="single"/>
              </w:rPr>
              <w:t>Követelmény</w:t>
            </w:r>
            <w:r>
              <w:t xml:space="preserve">: </w:t>
            </w:r>
            <w:r w:rsidRPr="009E4D0F">
              <w:t>A tulajdonos Önkormányzattal kötött bérleti szerződésben üzemeltetésbe adott tevékenységekre vonatkozó összes árbevételének a növelése a követelmény.</w:t>
            </w:r>
          </w:p>
          <w:p w:rsidR="00B01619" w:rsidRDefault="00B01619" w:rsidP="00023EEF">
            <w:pPr>
              <w:tabs>
                <w:tab w:val="left" w:pos="742"/>
                <w:tab w:val="right" w:pos="9072"/>
              </w:tabs>
              <w:overflowPunct w:val="0"/>
              <w:autoSpaceDE w:val="0"/>
              <w:autoSpaceDN w:val="0"/>
              <w:adjustRightInd w:val="0"/>
              <w:ind w:left="678"/>
              <w:jc w:val="both"/>
              <w:textAlignment w:val="baseline"/>
            </w:pPr>
            <w:r w:rsidRPr="009E4D0F">
              <w:rPr>
                <w:u w:val="single"/>
              </w:rPr>
              <w:t>Mértéke:</w:t>
            </w:r>
            <w:r w:rsidRPr="009E4D0F">
              <w:t xml:space="preserve"> A bérleti szerződésben üzemeltetésbe adott tevékenységekre az üzleti tervben szereplő összes árbevételhez képest (254.369 </w:t>
            </w:r>
            <w:proofErr w:type="spellStart"/>
            <w:r w:rsidRPr="009E4D0F">
              <w:t>eFt</w:t>
            </w:r>
            <w:proofErr w:type="spellEnd"/>
            <w:r w:rsidRPr="009E4D0F">
              <w:t>) elért növekedés százalékos mértékének 75 000-szeresében kerül megállapításra, maximum 250 000 Ft.</w:t>
            </w:r>
          </w:p>
          <w:p w:rsidR="00B01619" w:rsidRDefault="00B01619" w:rsidP="00023EEF">
            <w:pPr>
              <w:tabs>
                <w:tab w:val="left" w:pos="742"/>
                <w:tab w:val="right" w:pos="9072"/>
              </w:tabs>
              <w:overflowPunct w:val="0"/>
              <w:autoSpaceDE w:val="0"/>
              <w:autoSpaceDN w:val="0"/>
              <w:adjustRightInd w:val="0"/>
              <w:ind w:left="678"/>
              <w:jc w:val="both"/>
              <w:textAlignment w:val="baseline"/>
            </w:pPr>
            <w:r>
              <w:rPr>
                <w:u w:val="single"/>
              </w:rPr>
              <w:t>Teljesítés:</w:t>
            </w:r>
            <w:r>
              <w:t xml:space="preserve"> A tulajdonos Önkormányzattal kötött bérleti szerződésben üzemeltetésbe adott tevékenységekre vonatkozó összes árbevételének a növelése a követelmény. A terv alapján az árbevétel 254.369 </w:t>
            </w:r>
            <w:proofErr w:type="spellStart"/>
            <w:r>
              <w:t>eFt</w:t>
            </w:r>
            <w:proofErr w:type="spellEnd"/>
            <w:r>
              <w:t xml:space="preserve">, a 2019. évben realizált árbevétel 253.979 </w:t>
            </w:r>
            <w:proofErr w:type="spellStart"/>
            <w:r>
              <w:t>eFt</w:t>
            </w:r>
            <w:proofErr w:type="spellEnd"/>
            <w:r>
              <w:t>, amely tervezetthez képest elmaradást mutat, a követelmény alapján nem jutalmazható:</w:t>
            </w:r>
          </w:p>
          <w:p w:rsidR="00B01619" w:rsidRPr="009E4D0F" w:rsidRDefault="00B01619" w:rsidP="00023EEF">
            <w:pPr>
              <w:numPr>
                <w:ilvl w:val="0"/>
                <w:numId w:val="5"/>
              </w:numPr>
              <w:tabs>
                <w:tab w:val="left" w:pos="742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4517">
              <w:rPr>
                <w:u w:val="single"/>
              </w:rPr>
              <w:t>Követelmény</w:t>
            </w:r>
            <w:r>
              <w:t xml:space="preserve">: </w:t>
            </w:r>
            <w:r w:rsidRPr="009E4D0F">
              <w:t>A Társaság mérlegszerinti eredményének növekedése a követelmény.</w:t>
            </w:r>
            <w:r w:rsidRPr="009E4D0F">
              <w:br/>
            </w:r>
            <w:r w:rsidRPr="009E4D0F">
              <w:rPr>
                <w:u w:val="single"/>
              </w:rPr>
              <w:t>Mértéke:</w:t>
            </w:r>
            <w:r w:rsidRPr="009E4D0F">
              <w:t xml:space="preserve"> A Társaság üzemi (üzleti) eredményének összege szerint:</w:t>
            </w:r>
          </w:p>
          <w:p w:rsidR="00B01619" w:rsidRPr="009E4D0F" w:rsidRDefault="00B01619" w:rsidP="00023EEF">
            <w:pPr>
              <w:tabs>
                <w:tab w:val="left" w:pos="742"/>
                <w:tab w:val="right" w:pos="9072"/>
              </w:tabs>
              <w:overflowPunct w:val="0"/>
              <w:autoSpaceDE w:val="0"/>
              <w:autoSpaceDN w:val="0"/>
              <w:adjustRightInd w:val="0"/>
              <w:ind w:left="678"/>
              <w:textAlignment w:val="baseline"/>
            </w:pPr>
            <w:r w:rsidRPr="009E4D0F">
              <w:t xml:space="preserve">          </w:t>
            </w:r>
            <w:proofErr w:type="gramStart"/>
            <w:r w:rsidRPr="009E4D0F">
              <w:t>&lt; 1</w:t>
            </w:r>
            <w:proofErr w:type="gramEnd"/>
            <w:r w:rsidRPr="009E4D0F">
              <w:t xml:space="preserve"> 529 </w:t>
            </w:r>
            <w:proofErr w:type="spellStart"/>
            <w:r w:rsidRPr="009E4D0F">
              <w:t>eFt</w:t>
            </w:r>
            <w:proofErr w:type="spellEnd"/>
            <w:r w:rsidRPr="009E4D0F">
              <w:t xml:space="preserve">                      0 </w:t>
            </w:r>
            <w:proofErr w:type="spellStart"/>
            <w:r w:rsidRPr="009E4D0F">
              <w:t>eFt</w:t>
            </w:r>
            <w:proofErr w:type="spellEnd"/>
          </w:p>
          <w:p w:rsidR="00B01619" w:rsidRPr="009E4D0F" w:rsidRDefault="00B01619" w:rsidP="00023EEF">
            <w:pPr>
              <w:tabs>
                <w:tab w:val="left" w:pos="742"/>
                <w:tab w:val="right" w:pos="9072"/>
              </w:tabs>
              <w:overflowPunct w:val="0"/>
              <w:autoSpaceDE w:val="0"/>
              <w:autoSpaceDN w:val="0"/>
              <w:adjustRightInd w:val="0"/>
              <w:ind w:left="678"/>
              <w:textAlignment w:val="baseline"/>
            </w:pPr>
            <w:r w:rsidRPr="009E4D0F">
              <w:t xml:space="preserve">1 529 – 3 000 </w:t>
            </w:r>
            <w:proofErr w:type="spellStart"/>
            <w:proofErr w:type="gramStart"/>
            <w:r w:rsidRPr="009E4D0F">
              <w:t>eFt</w:t>
            </w:r>
            <w:proofErr w:type="spellEnd"/>
            <w:r w:rsidRPr="009E4D0F">
              <w:t xml:space="preserve">                   250</w:t>
            </w:r>
            <w:proofErr w:type="gramEnd"/>
            <w:r w:rsidRPr="009E4D0F">
              <w:t xml:space="preserve"> </w:t>
            </w:r>
            <w:proofErr w:type="spellStart"/>
            <w:r w:rsidRPr="009E4D0F">
              <w:t>eFt</w:t>
            </w:r>
            <w:proofErr w:type="spellEnd"/>
          </w:p>
          <w:p w:rsidR="00B01619" w:rsidRDefault="00B01619" w:rsidP="00023EEF">
            <w:pPr>
              <w:tabs>
                <w:tab w:val="left" w:pos="742"/>
                <w:tab w:val="right" w:pos="9072"/>
              </w:tabs>
              <w:overflowPunct w:val="0"/>
              <w:autoSpaceDE w:val="0"/>
              <w:autoSpaceDN w:val="0"/>
              <w:adjustRightInd w:val="0"/>
              <w:ind w:left="678"/>
              <w:jc w:val="both"/>
              <w:textAlignment w:val="baseline"/>
            </w:pPr>
            <w:r w:rsidRPr="009E4D0F">
              <w:t xml:space="preserve">3 000 </w:t>
            </w:r>
            <w:proofErr w:type="spellStart"/>
            <w:r w:rsidRPr="009E4D0F">
              <w:t>eFt</w:t>
            </w:r>
            <w:proofErr w:type="spellEnd"/>
            <w:r w:rsidRPr="009E4D0F">
              <w:t xml:space="preserve"> </w:t>
            </w:r>
            <w:proofErr w:type="gramStart"/>
            <w:r w:rsidRPr="009E4D0F">
              <w:t>&lt;                            500</w:t>
            </w:r>
            <w:proofErr w:type="gramEnd"/>
            <w:r w:rsidRPr="009E4D0F">
              <w:t xml:space="preserve"> </w:t>
            </w:r>
            <w:proofErr w:type="spellStart"/>
            <w:r w:rsidRPr="009E4D0F">
              <w:t>eFt</w:t>
            </w:r>
            <w:proofErr w:type="spellEnd"/>
          </w:p>
          <w:p w:rsidR="00B01619" w:rsidRDefault="00B01619" w:rsidP="00023EEF">
            <w:pPr>
              <w:tabs>
                <w:tab w:val="left" w:pos="742"/>
                <w:tab w:val="right" w:pos="9072"/>
              </w:tabs>
              <w:overflowPunct w:val="0"/>
              <w:autoSpaceDE w:val="0"/>
              <w:autoSpaceDN w:val="0"/>
              <w:adjustRightInd w:val="0"/>
              <w:ind w:left="678"/>
              <w:jc w:val="both"/>
              <w:textAlignment w:val="baseline"/>
            </w:pPr>
            <w:r>
              <w:rPr>
                <w:u w:val="single"/>
              </w:rPr>
              <w:lastRenderedPageBreak/>
              <w:t>T</w:t>
            </w:r>
            <w:r w:rsidRPr="00824517">
              <w:rPr>
                <w:u w:val="single"/>
              </w:rPr>
              <w:t>eljesítés</w:t>
            </w:r>
            <w:r>
              <w:t xml:space="preserve">: Az éves beszámoló alapján az üzemi (üzleti) eredmény 16.883 </w:t>
            </w:r>
            <w:proofErr w:type="spellStart"/>
            <w:r>
              <w:t>eFt</w:t>
            </w:r>
            <w:proofErr w:type="spellEnd"/>
            <w:r>
              <w:t>, tehát a maximális mértékkel kerül figyelembe vételre:</w:t>
            </w:r>
          </w:p>
        </w:tc>
        <w:tc>
          <w:tcPr>
            <w:tcW w:w="1559" w:type="dxa"/>
          </w:tcPr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  <w:r>
              <w:t>0 Ft</w:t>
            </w: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  <w:r>
              <w:t>500.000 Ft</w:t>
            </w:r>
          </w:p>
          <w:p w:rsidR="00B01619" w:rsidRDefault="00B01619" w:rsidP="00023EEF">
            <w:pPr>
              <w:tabs>
                <w:tab w:val="left" w:pos="6521"/>
                <w:tab w:val="right" w:pos="9072"/>
              </w:tabs>
              <w:jc w:val="center"/>
            </w:pPr>
          </w:p>
        </w:tc>
      </w:tr>
      <w:tr w:rsidR="00B01619" w:rsidRPr="00824517" w:rsidTr="00023EEF">
        <w:tc>
          <w:tcPr>
            <w:tcW w:w="7796" w:type="dxa"/>
          </w:tcPr>
          <w:p w:rsidR="00B01619" w:rsidRPr="00824517" w:rsidRDefault="00B01619" w:rsidP="00023EEF">
            <w:pPr>
              <w:tabs>
                <w:tab w:val="left" w:pos="6521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824517">
              <w:rPr>
                <w:b/>
              </w:rPr>
              <w:t>eljesítés összesen:</w:t>
            </w:r>
          </w:p>
          <w:p w:rsidR="00B01619" w:rsidRPr="00824517" w:rsidRDefault="00B01619" w:rsidP="00023EEF">
            <w:pPr>
              <w:tabs>
                <w:tab w:val="left" w:pos="6521"/>
                <w:tab w:val="right" w:pos="9072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01619" w:rsidRPr="00824517" w:rsidRDefault="00B01619" w:rsidP="00023EEF">
            <w:pPr>
              <w:tabs>
                <w:tab w:val="left" w:pos="6521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1.250.00</w:t>
            </w:r>
            <w:r w:rsidRPr="00824517">
              <w:rPr>
                <w:b/>
              </w:rPr>
              <w:t>0 Ft</w:t>
            </w:r>
          </w:p>
        </w:tc>
      </w:tr>
    </w:tbl>
    <w:p w:rsidR="00B01619" w:rsidRDefault="00B01619" w:rsidP="00B01619">
      <w:pPr>
        <w:numPr>
          <w:ilvl w:val="0"/>
          <w:numId w:val="4"/>
        </w:numPr>
        <w:tabs>
          <w:tab w:val="clear" w:pos="720"/>
          <w:tab w:val="num" w:pos="284"/>
          <w:tab w:val="left" w:pos="6521"/>
          <w:tab w:val="right" w:pos="907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A prémium kitűzés feladatai a IV. negyedévben a háromnegyed éves üzleti jelentés alapján 630.475 Ft prémium előleg került kifizetésre az éves keret terhére. Jelen önértékelés alapján további 619.525 Ft fizethető ki.</w:t>
      </w:r>
    </w:p>
    <w:p w:rsidR="00B01619" w:rsidRDefault="00B01619" w:rsidP="00B01619">
      <w:pPr>
        <w:tabs>
          <w:tab w:val="left" w:pos="6521"/>
          <w:tab w:val="righ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B01619" w:rsidRDefault="00B01619" w:rsidP="00B01619">
      <w:pPr>
        <w:tabs>
          <w:tab w:val="left" w:pos="6521"/>
          <w:tab w:val="right" w:pos="9072"/>
        </w:tabs>
        <w:jc w:val="both"/>
      </w:pPr>
    </w:p>
    <w:p w:rsidR="00B01619" w:rsidRDefault="00B01619" w:rsidP="00B01619">
      <w:pPr>
        <w:numPr>
          <w:ilvl w:val="0"/>
          <w:numId w:val="4"/>
        </w:numPr>
        <w:tabs>
          <w:tab w:val="clear" w:pos="720"/>
          <w:tab w:val="num" w:pos="284"/>
          <w:tab w:val="left" w:pos="6521"/>
          <w:tab w:val="right" w:pos="907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 A gazdasági társaságnak felróható halálos üzemi baleset esetén, - amely 2019. évben nem történt - az éves teljesítménybért teljes egészében meg kell vonni, illetve a részteljesítésért kifizetett előleg visszafizetendő. </w:t>
      </w:r>
    </w:p>
    <w:p w:rsidR="00B01619" w:rsidRDefault="00B01619" w:rsidP="00B01619"/>
    <w:p w:rsidR="00B01619" w:rsidRPr="00A127BB" w:rsidRDefault="00B01619" w:rsidP="00B01619">
      <w:pPr>
        <w:jc w:val="both"/>
      </w:pPr>
    </w:p>
    <w:p w:rsidR="00095488" w:rsidRPr="00B01619" w:rsidRDefault="00095488"/>
    <w:sectPr w:rsidR="00095488" w:rsidRPr="00B01619" w:rsidSect="00EA382B">
      <w:pgSz w:w="11906" w:h="16838"/>
      <w:pgMar w:top="1418" w:right="1274" w:bottom="1418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1E8"/>
    <w:multiLevelType w:val="hybridMultilevel"/>
    <w:tmpl w:val="050A93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33E2A"/>
    <w:multiLevelType w:val="hybridMultilevel"/>
    <w:tmpl w:val="2F24FD48"/>
    <w:lvl w:ilvl="0" w:tplc="26DAD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B5327"/>
    <w:multiLevelType w:val="hybridMultilevel"/>
    <w:tmpl w:val="09B0F18E"/>
    <w:lvl w:ilvl="0" w:tplc="0A92E6E0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>
    <w:nsid w:val="77135752"/>
    <w:multiLevelType w:val="hybridMultilevel"/>
    <w:tmpl w:val="54E41F48"/>
    <w:lvl w:ilvl="0" w:tplc="26DA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55A7"/>
    <w:multiLevelType w:val="hybridMultilevel"/>
    <w:tmpl w:val="1712504C"/>
    <w:lvl w:ilvl="0" w:tplc="90B88F4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19"/>
    <w:rsid w:val="00095488"/>
    <w:rsid w:val="00B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1619"/>
    <w:pPr>
      <w:ind w:left="720"/>
      <w:contextualSpacing/>
    </w:pPr>
  </w:style>
  <w:style w:type="paragraph" w:styleId="Nincstrkz">
    <w:name w:val="No Spacing"/>
    <w:uiPriority w:val="1"/>
    <w:qFormat/>
    <w:rsid w:val="00B01619"/>
    <w:pPr>
      <w:suppressAutoHyphens/>
      <w:spacing w:after="0" w:line="240" w:lineRule="auto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1619"/>
    <w:pPr>
      <w:ind w:left="720"/>
      <w:contextualSpacing/>
    </w:pPr>
  </w:style>
  <w:style w:type="paragraph" w:styleId="Nincstrkz">
    <w:name w:val="No Spacing"/>
    <w:uiPriority w:val="1"/>
    <w:qFormat/>
    <w:rsid w:val="00B01619"/>
    <w:pPr>
      <w:suppressAutoHyphens/>
      <w:spacing w:after="0" w:line="240" w:lineRule="auto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1</cp:revision>
  <dcterms:created xsi:type="dcterms:W3CDTF">2020-05-28T08:33:00Z</dcterms:created>
  <dcterms:modified xsi:type="dcterms:W3CDTF">2020-05-28T08:37:00Z</dcterms:modified>
</cp:coreProperties>
</file>