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CC0" w:rsidRPr="00937FEF" w:rsidRDefault="00964CC0" w:rsidP="00964CC0">
      <w:pPr>
        <w:contextualSpacing/>
        <w:jc w:val="both"/>
        <w:rPr>
          <w:bCs/>
          <w:i/>
          <w:color w:val="000000"/>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566"/>
        <w:gridCol w:w="4554"/>
      </w:tblGrid>
      <w:tr w:rsidR="00964CC0" w:rsidRPr="005A1913" w:rsidTr="00FD0B5F">
        <w:trPr>
          <w:jc w:val="center"/>
        </w:trPr>
        <w:tc>
          <w:tcPr>
            <w:tcW w:w="4554" w:type="dxa"/>
            <w:gridSpan w:val="2"/>
            <w:tcBorders>
              <w:bottom w:val="nil"/>
              <w:right w:val="nil"/>
            </w:tcBorders>
          </w:tcPr>
          <w:p w:rsidR="00964CC0" w:rsidRPr="005A1913" w:rsidRDefault="00964CC0" w:rsidP="00FD0B5F">
            <w:pPr>
              <w:autoSpaceDE w:val="0"/>
              <w:autoSpaceDN w:val="0"/>
              <w:adjustRightInd w:val="0"/>
              <w:rPr>
                <w:b/>
                <w:sz w:val="28"/>
                <w:szCs w:val="28"/>
              </w:rPr>
            </w:pPr>
            <w:r>
              <w:rPr>
                <w:noProof/>
              </w:rPr>
              <w:drawing>
                <wp:inline distT="0" distB="0" distL="0" distR="0">
                  <wp:extent cx="952500" cy="9620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62025"/>
                          </a:xfrm>
                          <a:prstGeom prst="rect">
                            <a:avLst/>
                          </a:prstGeom>
                          <a:noFill/>
                          <a:ln>
                            <a:noFill/>
                          </a:ln>
                        </pic:spPr>
                      </pic:pic>
                    </a:graphicData>
                  </a:graphic>
                </wp:inline>
              </w:drawing>
            </w:r>
          </w:p>
        </w:tc>
        <w:tc>
          <w:tcPr>
            <w:tcW w:w="4554" w:type="dxa"/>
            <w:tcBorders>
              <w:left w:val="nil"/>
              <w:bottom w:val="nil"/>
            </w:tcBorders>
            <w:vAlign w:val="center"/>
          </w:tcPr>
          <w:p w:rsidR="00964CC0" w:rsidRPr="00B64509" w:rsidRDefault="00165439" w:rsidP="00FD0B5F">
            <w:pPr>
              <w:tabs>
                <w:tab w:val="left" w:pos="975"/>
              </w:tabs>
              <w:jc w:val="right"/>
              <w:rPr>
                <w:b/>
                <w:sz w:val="70"/>
                <w:szCs w:val="70"/>
              </w:rPr>
            </w:pPr>
            <w:r>
              <w:rPr>
                <w:b/>
                <w:sz w:val="70"/>
                <w:szCs w:val="70"/>
              </w:rPr>
              <w:t>6</w:t>
            </w:r>
            <w:r w:rsidR="00964CC0">
              <w:rPr>
                <w:b/>
                <w:sz w:val="70"/>
                <w:szCs w:val="70"/>
              </w:rPr>
              <w:t>.</w:t>
            </w:r>
          </w:p>
        </w:tc>
      </w:tr>
      <w:tr w:rsidR="00964CC0" w:rsidRPr="005A1913" w:rsidTr="00FD0B5F">
        <w:trPr>
          <w:trHeight w:val="851"/>
          <w:jc w:val="center"/>
        </w:trPr>
        <w:tc>
          <w:tcPr>
            <w:tcW w:w="9108" w:type="dxa"/>
            <w:gridSpan w:val="3"/>
            <w:tcBorders>
              <w:top w:val="nil"/>
            </w:tcBorders>
            <w:vAlign w:val="center"/>
          </w:tcPr>
          <w:p w:rsidR="00964CC0" w:rsidRPr="001C2B58" w:rsidRDefault="00964CC0" w:rsidP="00FD0B5F">
            <w:pPr>
              <w:autoSpaceDE w:val="0"/>
              <w:autoSpaceDN w:val="0"/>
              <w:adjustRightInd w:val="0"/>
              <w:jc w:val="center"/>
              <w:rPr>
                <w:b/>
                <w:sz w:val="28"/>
                <w:szCs w:val="28"/>
              </w:rPr>
            </w:pPr>
            <w:r w:rsidRPr="005A1913">
              <w:rPr>
                <w:b/>
                <w:sz w:val="28"/>
                <w:szCs w:val="28"/>
              </w:rPr>
              <w:t>TÖR</w:t>
            </w:r>
            <w:r>
              <w:rPr>
                <w:b/>
                <w:sz w:val="28"/>
                <w:szCs w:val="28"/>
              </w:rPr>
              <w:t>ÖKSZENTMIKLÓS VÁROS POLGÁRMESTERÉTŐL</w:t>
            </w:r>
          </w:p>
        </w:tc>
      </w:tr>
      <w:tr w:rsidR="00964CC0" w:rsidRPr="005A1913" w:rsidTr="00FD0B5F">
        <w:trPr>
          <w:trHeight w:val="851"/>
          <w:jc w:val="center"/>
        </w:trPr>
        <w:tc>
          <w:tcPr>
            <w:tcW w:w="9108" w:type="dxa"/>
            <w:gridSpan w:val="3"/>
            <w:vAlign w:val="center"/>
          </w:tcPr>
          <w:p w:rsidR="00964CC0" w:rsidRPr="001C2B58" w:rsidRDefault="00964CC0" w:rsidP="00FD0B5F">
            <w:pPr>
              <w:autoSpaceDE w:val="0"/>
              <w:autoSpaceDN w:val="0"/>
              <w:adjustRightInd w:val="0"/>
              <w:jc w:val="center"/>
              <w:rPr>
                <w:b/>
                <w:bCs/>
                <w:color w:val="000000"/>
                <w:sz w:val="28"/>
                <w:szCs w:val="28"/>
              </w:rPr>
            </w:pPr>
            <w:r w:rsidRPr="005A1913">
              <w:rPr>
                <w:b/>
                <w:bCs/>
                <w:color w:val="000000"/>
                <w:sz w:val="28"/>
                <w:szCs w:val="28"/>
              </w:rPr>
              <w:t>ELŐTERJESZTÉS</w:t>
            </w:r>
          </w:p>
        </w:tc>
      </w:tr>
      <w:tr w:rsidR="00964CC0" w:rsidRPr="005A1913" w:rsidTr="00FD0B5F">
        <w:trPr>
          <w:trHeight w:val="851"/>
          <w:jc w:val="center"/>
        </w:trPr>
        <w:tc>
          <w:tcPr>
            <w:tcW w:w="9108" w:type="dxa"/>
            <w:gridSpan w:val="3"/>
            <w:vAlign w:val="center"/>
          </w:tcPr>
          <w:p w:rsidR="00964CC0" w:rsidRPr="00E92D9A" w:rsidRDefault="00964CC0" w:rsidP="00FD0B5F">
            <w:pPr>
              <w:autoSpaceDE w:val="0"/>
              <w:autoSpaceDN w:val="0"/>
              <w:adjustRightInd w:val="0"/>
              <w:jc w:val="center"/>
              <w:rPr>
                <w:bCs/>
                <w:color w:val="000000"/>
              </w:rPr>
            </w:pPr>
            <w:r w:rsidRPr="00E92D9A">
              <w:rPr>
                <w:bCs/>
                <w:color w:val="000000"/>
                <w:sz w:val="22"/>
                <w:szCs w:val="22"/>
              </w:rPr>
              <w:t xml:space="preserve">A Képviselő-testület 2015. </w:t>
            </w:r>
            <w:r w:rsidR="00754ED4">
              <w:rPr>
                <w:bCs/>
                <w:color w:val="000000"/>
                <w:sz w:val="22"/>
                <w:szCs w:val="22"/>
              </w:rPr>
              <w:t>október 29</w:t>
            </w:r>
            <w:r>
              <w:rPr>
                <w:bCs/>
                <w:color w:val="000000"/>
                <w:sz w:val="22"/>
                <w:szCs w:val="22"/>
              </w:rPr>
              <w:t>. napján tartandó</w:t>
            </w:r>
            <w:r w:rsidRPr="00E92D9A">
              <w:rPr>
                <w:bCs/>
                <w:color w:val="000000"/>
                <w:sz w:val="22"/>
                <w:szCs w:val="22"/>
              </w:rPr>
              <w:t xml:space="preserve"> rendes nyilvános ülésére</w:t>
            </w:r>
          </w:p>
        </w:tc>
      </w:tr>
      <w:tr w:rsidR="00964CC0" w:rsidRPr="005A1913" w:rsidTr="00FD0B5F">
        <w:trPr>
          <w:trHeight w:val="284"/>
          <w:jc w:val="center"/>
        </w:trPr>
        <w:tc>
          <w:tcPr>
            <w:tcW w:w="9108" w:type="dxa"/>
            <w:gridSpan w:val="3"/>
            <w:tcBorders>
              <w:left w:val="nil"/>
              <w:right w:val="nil"/>
            </w:tcBorders>
          </w:tcPr>
          <w:p w:rsidR="00964CC0" w:rsidRPr="00E92D9A" w:rsidRDefault="00964CC0" w:rsidP="00FD0B5F">
            <w:pPr>
              <w:autoSpaceDE w:val="0"/>
              <w:autoSpaceDN w:val="0"/>
              <w:adjustRightInd w:val="0"/>
              <w:jc w:val="right"/>
            </w:pPr>
          </w:p>
        </w:tc>
      </w:tr>
      <w:tr w:rsidR="00964CC0" w:rsidRPr="008A1BE7" w:rsidTr="00FD0B5F">
        <w:trPr>
          <w:trHeight w:val="851"/>
          <w:jc w:val="center"/>
        </w:trPr>
        <w:tc>
          <w:tcPr>
            <w:tcW w:w="2988" w:type="dxa"/>
            <w:vAlign w:val="center"/>
          </w:tcPr>
          <w:p w:rsidR="00964CC0" w:rsidRPr="008A1BE7" w:rsidRDefault="00964CC0" w:rsidP="00FD0B5F">
            <w:pPr>
              <w:autoSpaceDE w:val="0"/>
              <w:autoSpaceDN w:val="0"/>
              <w:adjustRightInd w:val="0"/>
            </w:pPr>
            <w:r w:rsidRPr="008A1BE7">
              <w:rPr>
                <w:sz w:val="22"/>
                <w:szCs w:val="22"/>
              </w:rPr>
              <w:t xml:space="preserve">Előterjesztő megnevezése: </w:t>
            </w:r>
          </w:p>
        </w:tc>
        <w:tc>
          <w:tcPr>
            <w:tcW w:w="6120" w:type="dxa"/>
            <w:gridSpan w:val="2"/>
            <w:vAlign w:val="center"/>
          </w:tcPr>
          <w:p w:rsidR="00964CC0" w:rsidRPr="008A1BE7" w:rsidRDefault="00964CC0" w:rsidP="00FD0B5F">
            <w:pPr>
              <w:autoSpaceDE w:val="0"/>
              <w:autoSpaceDN w:val="0"/>
              <w:adjustRightInd w:val="0"/>
              <w:jc w:val="right"/>
            </w:pPr>
            <w:r w:rsidRPr="008A1BE7">
              <w:rPr>
                <w:sz w:val="22"/>
                <w:szCs w:val="22"/>
              </w:rPr>
              <w:t>Markót Imre</w:t>
            </w:r>
          </w:p>
        </w:tc>
      </w:tr>
      <w:tr w:rsidR="00964CC0" w:rsidRPr="008A1BE7" w:rsidTr="00FD0B5F">
        <w:trPr>
          <w:trHeight w:val="851"/>
          <w:jc w:val="center"/>
        </w:trPr>
        <w:tc>
          <w:tcPr>
            <w:tcW w:w="2988" w:type="dxa"/>
            <w:vAlign w:val="center"/>
          </w:tcPr>
          <w:p w:rsidR="00964CC0" w:rsidRPr="008A1BE7" w:rsidRDefault="00964CC0" w:rsidP="00FD0B5F">
            <w:pPr>
              <w:autoSpaceDE w:val="0"/>
              <w:autoSpaceDN w:val="0"/>
              <w:adjustRightInd w:val="0"/>
            </w:pPr>
            <w:r w:rsidRPr="008A1BE7">
              <w:rPr>
                <w:sz w:val="22"/>
                <w:szCs w:val="22"/>
              </w:rPr>
              <w:t xml:space="preserve">Iktatószám: </w:t>
            </w:r>
          </w:p>
        </w:tc>
        <w:tc>
          <w:tcPr>
            <w:tcW w:w="6120" w:type="dxa"/>
            <w:gridSpan w:val="2"/>
            <w:vAlign w:val="center"/>
          </w:tcPr>
          <w:p w:rsidR="00964CC0" w:rsidRPr="008A1BE7" w:rsidRDefault="0012364B" w:rsidP="00FD0B5F">
            <w:pPr>
              <w:autoSpaceDE w:val="0"/>
              <w:autoSpaceDN w:val="0"/>
              <w:adjustRightInd w:val="0"/>
              <w:jc w:val="right"/>
            </w:pPr>
            <w:r w:rsidRPr="008A1BE7">
              <w:rPr>
                <w:sz w:val="22"/>
                <w:szCs w:val="22"/>
              </w:rPr>
              <w:t>2-</w:t>
            </w:r>
            <w:r w:rsidR="00165439">
              <w:rPr>
                <w:sz w:val="22"/>
                <w:szCs w:val="22"/>
              </w:rPr>
              <w:t>208</w:t>
            </w:r>
            <w:r w:rsidR="00964CC0" w:rsidRPr="008A1BE7">
              <w:rPr>
                <w:sz w:val="22"/>
                <w:szCs w:val="22"/>
              </w:rPr>
              <w:t>/2015-F-1</w:t>
            </w:r>
          </w:p>
        </w:tc>
      </w:tr>
      <w:tr w:rsidR="00964CC0" w:rsidRPr="008A1BE7" w:rsidTr="00FD0B5F">
        <w:trPr>
          <w:trHeight w:val="851"/>
          <w:jc w:val="center"/>
        </w:trPr>
        <w:tc>
          <w:tcPr>
            <w:tcW w:w="2988" w:type="dxa"/>
            <w:vAlign w:val="center"/>
          </w:tcPr>
          <w:p w:rsidR="00964CC0" w:rsidRPr="008A1BE7" w:rsidRDefault="00964CC0" w:rsidP="00FD0B5F">
            <w:pPr>
              <w:autoSpaceDE w:val="0"/>
              <w:autoSpaceDN w:val="0"/>
              <w:adjustRightInd w:val="0"/>
            </w:pPr>
            <w:r w:rsidRPr="008A1BE7">
              <w:rPr>
                <w:sz w:val="22"/>
                <w:szCs w:val="22"/>
              </w:rPr>
              <w:t xml:space="preserve">Tárgy: </w:t>
            </w:r>
          </w:p>
        </w:tc>
        <w:tc>
          <w:tcPr>
            <w:tcW w:w="6120" w:type="dxa"/>
            <w:gridSpan w:val="2"/>
            <w:vAlign w:val="center"/>
          </w:tcPr>
          <w:p w:rsidR="00964CC0" w:rsidRPr="008A1BE7" w:rsidRDefault="00964CC0" w:rsidP="00FD0B5F">
            <w:pPr>
              <w:widowControl w:val="0"/>
              <w:autoSpaceDE w:val="0"/>
              <w:autoSpaceDN w:val="0"/>
              <w:adjustRightInd w:val="0"/>
              <w:jc w:val="right"/>
              <w:rPr>
                <w:b/>
              </w:rPr>
            </w:pPr>
            <w:r w:rsidRPr="008A1BE7">
              <w:rPr>
                <w:b/>
                <w:sz w:val="22"/>
                <w:szCs w:val="22"/>
              </w:rPr>
              <w:t>A közösségi együttélés alapvető szabályairól</w:t>
            </w:r>
            <w:r w:rsidR="00A82519" w:rsidRPr="008A1BE7">
              <w:rPr>
                <w:b/>
                <w:sz w:val="22"/>
                <w:szCs w:val="22"/>
              </w:rPr>
              <w:t xml:space="preserve"> és ezek megszegésének következményeiről</w:t>
            </w:r>
            <w:r w:rsidR="00754ED4" w:rsidRPr="008A1BE7">
              <w:rPr>
                <w:b/>
                <w:sz w:val="22"/>
                <w:szCs w:val="22"/>
              </w:rPr>
              <w:t xml:space="preserve"> szóló</w:t>
            </w:r>
            <w:r w:rsidR="00FD0B5F" w:rsidRPr="008A1BE7">
              <w:rPr>
                <w:b/>
                <w:sz w:val="22"/>
                <w:szCs w:val="22"/>
              </w:rPr>
              <w:t xml:space="preserve"> 14/2015. (V.29.)</w:t>
            </w:r>
            <w:r w:rsidR="00754ED4" w:rsidRPr="008A1BE7">
              <w:rPr>
                <w:b/>
                <w:sz w:val="22"/>
                <w:szCs w:val="22"/>
              </w:rPr>
              <w:t xml:space="preserve"> </w:t>
            </w:r>
            <w:r w:rsidRPr="008A1BE7">
              <w:rPr>
                <w:b/>
                <w:sz w:val="22"/>
                <w:szCs w:val="22"/>
              </w:rPr>
              <w:t>rendelet m</w:t>
            </w:r>
            <w:r w:rsidR="00FD0B5F" w:rsidRPr="008A1BE7">
              <w:rPr>
                <w:b/>
                <w:sz w:val="22"/>
                <w:szCs w:val="22"/>
              </w:rPr>
              <w:t>ódosításáról</w:t>
            </w:r>
            <w:r w:rsidRPr="008A1BE7">
              <w:rPr>
                <w:b/>
                <w:sz w:val="22"/>
                <w:szCs w:val="22"/>
              </w:rPr>
              <w:t xml:space="preserve">  </w:t>
            </w:r>
          </w:p>
        </w:tc>
      </w:tr>
      <w:tr w:rsidR="00964CC0" w:rsidRPr="008A1BE7" w:rsidTr="00FD0B5F">
        <w:trPr>
          <w:trHeight w:val="851"/>
          <w:jc w:val="center"/>
        </w:trPr>
        <w:tc>
          <w:tcPr>
            <w:tcW w:w="2988" w:type="dxa"/>
            <w:vAlign w:val="center"/>
          </w:tcPr>
          <w:p w:rsidR="00964CC0" w:rsidRPr="008A1BE7" w:rsidRDefault="00964CC0" w:rsidP="00FD0B5F">
            <w:pPr>
              <w:autoSpaceDE w:val="0"/>
              <w:autoSpaceDN w:val="0"/>
              <w:adjustRightInd w:val="0"/>
              <w:rPr>
                <w:bCs/>
                <w:color w:val="000000"/>
              </w:rPr>
            </w:pPr>
            <w:r w:rsidRPr="008A1BE7">
              <w:rPr>
                <w:bCs/>
                <w:color w:val="000000"/>
                <w:sz w:val="22"/>
                <w:szCs w:val="22"/>
              </w:rPr>
              <w:t>Előterjesztés jellege:</w:t>
            </w:r>
          </w:p>
        </w:tc>
        <w:tc>
          <w:tcPr>
            <w:tcW w:w="6120" w:type="dxa"/>
            <w:gridSpan w:val="2"/>
            <w:vAlign w:val="center"/>
          </w:tcPr>
          <w:p w:rsidR="00964CC0" w:rsidRPr="008A1BE7" w:rsidRDefault="00964CC0" w:rsidP="00FD0B5F">
            <w:pPr>
              <w:autoSpaceDE w:val="0"/>
              <w:autoSpaceDN w:val="0"/>
              <w:adjustRightInd w:val="0"/>
              <w:jc w:val="right"/>
              <w:rPr>
                <w:bCs/>
                <w:color w:val="000000"/>
              </w:rPr>
            </w:pPr>
            <w:r w:rsidRPr="008A1BE7">
              <w:rPr>
                <w:b/>
                <w:bCs/>
                <w:color w:val="000000"/>
                <w:sz w:val="22"/>
                <w:szCs w:val="22"/>
                <w:u w:val="single"/>
              </w:rPr>
              <w:t>Rendelet-tervezet,</w:t>
            </w:r>
            <w:r w:rsidRPr="008A1BE7">
              <w:rPr>
                <w:bCs/>
                <w:color w:val="000000"/>
                <w:sz w:val="22"/>
                <w:szCs w:val="22"/>
              </w:rPr>
              <w:t xml:space="preserve"> Határozat-tervezet, Tájékoztató, Beszámoló</w:t>
            </w:r>
          </w:p>
        </w:tc>
      </w:tr>
      <w:tr w:rsidR="00964CC0" w:rsidRPr="008A1BE7" w:rsidTr="00FD0B5F">
        <w:trPr>
          <w:trHeight w:val="851"/>
          <w:jc w:val="center"/>
        </w:trPr>
        <w:tc>
          <w:tcPr>
            <w:tcW w:w="2988" w:type="dxa"/>
            <w:vAlign w:val="center"/>
          </w:tcPr>
          <w:p w:rsidR="00964CC0" w:rsidRPr="008A1BE7" w:rsidRDefault="00964CC0" w:rsidP="00FD0B5F">
            <w:pPr>
              <w:autoSpaceDE w:val="0"/>
              <w:autoSpaceDN w:val="0"/>
              <w:adjustRightInd w:val="0"/>
            </w:pPr>
            <w:r w:rsidRPr="008A1BE7">
              <w:rPr>
                <w:sz w:val="22"/>
                <w:szCs w:val="22"/>
              </w:rPr>
              <w:t xml:space="preserve">Melléklet: </w:t>
            </w:r>
          </w:p>
        </w:tc>
        <w:tc>
          <w:tcPr>
            <w:tcW w:w="6120" w:type="dxa"/>
            <w:gridSpan w:val="2"/>
            <w:vAlign w:val="center"/>
          </w:tcPr>
          <w:p w:rsidR="00964CC0" w:rsidRPr="008A1BE7" w:rsidRDefault="00964CC0" w:rsidP="00FD0B5F">
            <w:pPr>
              <w:pStyle w:val="Listaszerbekezds1"/>
              <w:autoSpaceDE w:val="0"/>
              <w:autoSpaceDN w:val="0"/>
              <w:adjustRightInd w:val="0"/>
              <w:spacing w:after="0" w:line="240" w:lineRule="auto"/>
              <w:ind w:left="0"/>
              <w:jc w:val="right"/>
              <w:rPr>
                <w:rFonts w:ascii="Times New Roman" w:hAnsi="Times New Roman"/>
                <w:b/>
              </w:rPr>
            </w:pPr>
            <w:r w:rsidRPr="008A1BE7">
              <w:rPr>
                <w:rFonts w:ascii="Times New Roman" w:hAnsi="Times New Roman"/>
              </w:rPr>
              <w:t xml:space="preserve">1 db </w:t>
            </w:r>
            <w:r w:rsidRPr="008A1BE7">
              <w:rPr>
                <w:rFonts w:ascii="Times New Roman" w:hAnsi="Times New Roman"/>
                <w:b/>
              </w:rPr>
              <w:t>rendelet-tervezet</w:t>
            </w:r>
          </w:p>
          <w:p w:rsidR="00964CC0" w:rsidRPr="008A1BE7" w:rsidRDefault="00964CC0" w:rsidP="00FD0B5F">
            <w:pPr>
              <w:pStyle w:val="Listaszerbekezds1"/>
              <w:autoSpaceDE w:val="0"/>
              <w:autoSpaceDN w:val="0"/>
              <w:adjustRightInd w:val="0"/>
              <w:spacing w:after="0" w:line="240" w:lineRule="auto"/>
              <w:ind w:left="0"/>
              <w:jc w:val="right"/>
              <w:rPr>
                <w:rFonts w:ascii="Times New Roman" w:hAnsi="Times New Roman"/>
                <w:b/>
              </w:rPr>
            </w:pPr>
            <w:r w:rsidRPr="008A1BE7">
              <w:rPr>
                <w:rFonts w:ascii="Times New Roman" w:hAnsi="Times New Roman"/>
              </w:rPr>
              <w:t>1 db</w:t>
            </w:r>
            <w:r w:rsidRPr="008A1BE7">
              <w:rPr>
                <w:rFonts w:ascii="Times New Roman" w:hAnsi="Times New Roman"/>
                <w:b/>
              </w:rPr>
              <w:t xml:space="preserve"> hatásvizsgálati lap</w:t>
            </w:r>
          </w:p>
        </w:tc>
      </w:tr>
      <w:tr w:rsidR="00964CC0" w:rsidRPr="008A1BE7" w:rsidTr="00FD0B5F">
        <w:trPr>
          <w:trHeight w:val="851"/>
          <w:jc w:val="center"/>
        </w:trPr>
        <w:tc>
          <w:tcPr>
            <w:tcW w:w="2988" w:type="dxa"/>
            <w:vAlign w:val="center"/>
          </w:tcPr>
          <w:p w:rsidR="00964CC0" w:rsidRPr="008A1BE7" w:rsidRDefault="00964CC0" w:rsidP="00FD0B5F">
            <w:pPr>
              <w:autoSpaceDE w:val="0"/>
              <w:autoSpaceDN w:val="0"/>
              <w:adjustRightInd w:val="0"/>
            </w:pPr>
            <w:r w:rsidRPr="008A1BE7">
              <w:rPr>
                <w:sz w:val="22"/>
                <w:szCs w:val="22"/>
              </w:rPr>
              <w:t>Készítette:</w:t>
            </w:r>
          </w:p>
        </w:tc>
        <w:tc>
          <w:tcPr>
            <w:tcW w:w="6120" w:type="dxa"/>
            <w:gridSpan w:val="2"/>
            <w:vAlign w:val="center"/>
          </w:tcPr>
          <w:p w:rsidR="00964CC0" w:rsidRPr="008A1BE7" w:rsidRDefault="00FD0B5F" w:rsidP="00FD0B5F">
            <w:pPr>
              <w:contextualSpacing/>
              <w:jc w:val="right"/>
            </w:pPr>
            <w:r w:rsidRPr="008A1BE7">
              <w:rPr>
                <w:sz w:val="22"/>
                <w:szCs w:val="22"/>
              </w:rPr>
              <w:t>dr. Libor Imre</w:t>
            </w:r>
            <w:r w:rsidR="00964CC0" w:rsidRPr="008A1BE7">
              <w:rPr>
                <w:sz w:val="22"/>
                <w:szCs w:val="22"/>
              </w:rPr>
              <w:t xml:space="preserve"> </w:t>
            </w:r>
            <w:r w:rsidRPr="008A1BE7">
              <w:rPr>
                <w:sz w:val="22"/>
                <w:szCs w:val="22"/>
              </w:rPr>
              <w:t>aljegyz</w:t>
            </w:r>
            <w:r w:rsidR="00964CC0" w:rsidRPr="008A1BE7">
              <w:rPr>
                <w:sz w:val="22"/>
                <w:szCs w:val="22"/>
              </w:rPr>
              <w:t>ő</w:t>
            </w:r>
          </w:p>
        </w:tc>
      </w:tr>
      <w:tr w:rsidR="00964CC0" w:rsidRPr="008A1BE7" w:rsidTr="00FD0B5F">
        <w:trPr>
          <w:trHeight w:val="851"/>
          <w:jc w:val="center"/>
        </w:trPr>
        <w:tc>
          <w:tcPr>
            <w:tcW w:w="2988" w:type="dxa"/>
            <w:vAlign w:val="center"/>
          </w:tcPr>
          <w:p w:rsidR="00964CC0" w:rsidRPr="008A1BE7" w:rsidRDefault="00964CC0" w:rsidP="00FD0B5F">
            <w:pPr>
              <w:autoSpaceDE w:val="0"/>
              <w:autoSpaceDN w:val="0"/>
              <w:adjustRightInd w:val="0"/>
            </w:pPr>
            <w:r w:rsidRPr="008A1BE7">
              <w:rPr>
                <w:sz w:val="22"/>
                <w:szCs w:val="22"/>
              </w:rPr>
              <w:t xml:space="preserve">Véleményezésre megküldve: </w:t>
            </w:r>
          </w:p>
        </w:tc>
        <w:tc>
          <w:tcPr>
            <w:tcW w:w="6120" w:type="dxa"/>
            <w:gridSpan w:val="2"/>
            <w:vAlign w:val="center"/>
          </w:tcPr>
          <w:p w:rsidR="00964CC0" w:rsidRPr="008A1BE7" w:rsidRDefault="00964CC0" w:rsidP="00FD0B5F">
            <w:pPr>
              <w:autoSpaceDE w:val="0"/>
              <w:autoSpaceDN w:val="0"/>
              <w:adjustRightInd w:val="0"/>
              <w:jc w:val="right"/>
            </w:pPr>
            <w:r w:rsidRPr="008A1BE7">
              <w:rPr>
                <w:sz w:val="22"/>
                <w:szCs w:val="22"/>
              </w:rPr>
              <w:t xml:space="preserve">A Képviselő-testület </w:t>
            </w:r>
            <w:r w:rsidRPr="008A1BE7">
              <w:rPr>
                <w:b/>
                <w:sz w:val="22"/>
                <w:szCs w:val="22"/>
              </w:rPr>
              <w:t>Pénzügyi és Városfejlesztési Bizottsága</w:t>
            </w:r>
            <w:r w:rsidRPr="008A1BE7">
              <w:rPr>
                <w:sz w:val="22"/>
                <w:szCs w:val="22"/>
              </w:rPr>
              <w:t xml:space="preserve"> és a </w:t>
            </w:r>
            <w:r w:rsidRPr="008A1BE7">
              <w:rPr>
                <w:b/>
                <w:sz w:val="22"/>
                <w:szCs w:val="22"/>
              </w:rPr>
              <w:t>Szociális, Egészségügyi és Sport Bizottsága</w:t>
            </w:r>
          </w:p>
          <w:p w:rsidR="00964CC0" w:rsidRPr="008A1BE7" w:rsidRDefault="00964CC0" w:rsidP="00FD0B5F">
            <w:pPr>
              <w:autoSpaceDE w:val="0"/>
              <w:autoSpaceDN w:val="0"/>
              <w:adjustRightInd w:val="0"/>
              <w:jc w:val="right"/>
            </w:pPr>
            <w:r w:rsidRPr="008A1BE7">
              <w:rPr>
                <w:sz w:val="22"/>
                <w:szCs w:val="22"/>
              </w:rPr>
              <w:t>részére</w:t>
            </w:r>
          </w:p>
        </w:tc>
      </w:tr>
      <w:tr w:rsidR="00964CC0" w:rsidRPr="008A1BE7" w:rsidTr="00FD0B5F">
        <w:trPr>
          <w:trHeight w:val="851"/>
          <w:jc w:val="center"/>
        </w:trPr>
        <w:tc>
          <w:tcPr>
            <w:tcW w:w="2988" w:type="dxa"/>
            <w:vAlign w:val="center"/>
          </w:tcPr>
          <w:p w:rsidR="00964CC0" w:rsidRPr="008A1BE7" w:rsidRDefault="00964CC0" w:rsidP="00FD0B5F">
            <w:pPr>
              <w:autoSpaceDE w:val="0"/>
              <w:autoSpaceDN w:val="0"/>
              <w:adjustRightInd w:val="0"/>
            </w:pPr>
            <w:r w:rsidRPr="008A1BE7">
              <w:rPr>
                <w:sz w:val="22"/>
                <w:szCs w:val="22"/>
              </w:rPr>
              <w:t>Törvényességi véleményezésre bemutatva:</w:t>
            </w:r>
          </w:p>
        </w:tc>
        <w:tc>
          <w:tcPr>
            <w:tcW w:w="6120" w:type="dxa"/>
            <w:gridSpan w:val="2"/>
            <w:vAlign w:val="center"/>
          </w:tcPr>
          <w:p w:rsidR="00964CC0" w:rsidRPr="008A1BE7" w:rsidRDefault="00964CC0" w:rsidP="00FD0B5F">
            <w:pPr>
              <w:autoSpaceDE w:val="0"/>
              <w:autoSpaceDN w:val="0"/>
              <w:adjustRightInd w:val="0"/>
              <w:jc w:val="right"/>
            </w:pPr>
            <w:r w:rsidRPr="008A1BE7">
              <w:rPr>
                <w:sz w:val="22"/>
                <w:szCs w:val="22"/>
              </w:rPr>
              <w:t xml:space="preserve">2015. </w:t>
            </w:r>
            <w:r w:rsidR="00FD0B5F" w:rsidRPr="008A1BE7">
              <w:rPr>
                <w:sz w:val="22"/>
                <w:szCs w:val="22"/>
              </w:rPr>
              <w:t>október</w:t>
            </w:r>
            <w:r w:rsidRPr="008A1BE7">
              <w:rPr>
                <w:sz w:val="22"/>
                <w:szCs w:val="22"/>
              </w:rPr>
              <w:t>.</w:t>
            </w:r>
          </w:p>
        </w:tc>
      </w:tr>
    </w:tbl>
    <w:p w:rsidR="00964CC0" w:rsidRDefault="00964CC0" w:rsidP="00964CC0">
      <w:pPr>
        <w:jc w:val="both"/>
        <w:rPr>
          <w:b/>
          <w:sz w:val="22"/>
          <w:szCs w:val="22"/>
        </w:rPr>
        <w:sectPr w:rsidR="00964CC0" w:rsidSect="001C74C0">
          <w:footerReference w:type="default" r:id="rId8"/>
          <w:pgSz w:w="11906" w:h="16838"/>
          <w:pgMar w:top="1417" w:right="1417" w:bottom="1417" w:left="1417" w:header="708" w:footer="708" w:gutter="0"/>
          <w:cols w:space="708"/>
          <w:titlePg/>
          <w:docGrid w:linePitch="360"/>
        </w:sectPr>
      </w:pPr>
    </w:p>
    <w:p w:rsidR="00964CC0" w:rsidRPr="00624C9C" w:rsidRDefault="008A1BE7" w:rsidP="00964CC0">
      <w:pPr>
        <w:jc w:val="both"/>
        <w:rPr>
          <w:rFonts w:ascii="Garamond" w:hAnsi="Garamond"/>
          <w:b/>
          <w:sz w:val="22"/>
          <w:szCs w:val="22"/>
        </w:rPr>
      </w:pPr>
      <w:r w:rsidRPr="00624C9C">
        <w:rPr>
          <w:rFonts w:ascii="Garamond" w:hAnsi="Garamond"/>
          <w:b/>
          <w:sz w:val="22"/>
          <w:szCs w:val="22"/>
        </w:rPr>
        <w:lastRenderedPageBreak/>
        <w:t>Tisztelt Képviselő-</w:t>
      </w:r>
      <w:r w:rsidR="00964CC0" w:rsidRPr="00624C9C">
        <w:rPr>
          <w:rFonts w:ascii="Garamond" w:hAnsi="Garamond"/>
          <w:b/>
          <w:sz w:val="22"/>
          <w:szCs w:val="22"/>
        </w:rPr>
        <w:t>testület!</w:t>
      </w:r>
    </w:p>
    <w:p w:rsidR="00624C9C" w:rsidRPr="00624C9C" w:rsidRDefault="00624C9C" w:rsidP="00964CC0">
      <w:pPr>
        <w:jc w:val="both"/>
        <w:rPr>
          <w:rFonts w:ascii="Garamond" w:hAnsi="Garamond"/>
          <w:b/>
          <w:sz w:val="22"/>
          <w:szCs w:val="22"/>
        </w:rPr>
      </w:pPr>
    </w:p>
    <w:p w:rsidR="00624C9C" w:rsidRPr="00624C9C" w:rsidRDefault="00624C9C" w:rsidP="00964CC0">
      <w:pPr>
        <w:jc w:val="both"/>
        <w:rPr>
          <w:rFonts w:ascii="Garamond" w:hAnsi="Garamond"/>
          <w:sz w:val="22"/>
          <w:szCs w:val="22"/>
        </w:rPr>
      </w:pPr>
      <w:r w:rsidRPr="00624C9C">
        <w:rPr>
          <w:rFonts w:ascii="Garamond" w:hAnsi="Garamond"/>
          <w:sz w:val="22"/>
          <w:szCs w:val="22"/>
        </w:rPr>
        <w:t>A tisztelt Képviselő-testület idén májusban fogadta el a közösségi együttélés alapvető szabályairól és ezek megszegésének következményeiről szóló 14/2015. (V.29.) számú rendelet</w:t>
      </w:r>
      <w:r>
        <w:rPr>
          <w:rFonts w:ascii="Garamond" w:hAnsi="Garamond"/>
          <w:sz w:val="22"/>
          <w:szCs w:val="22"/>
        </w:rPr>
        <w:t>ét. Akkor a</w:t>
      </w:r>
      <w:r w:rsidRPr="00624C9C">
        <w:rPr>
          <w:rFonts w:ascii="Garamond" w:hAnsi="Garamond"/>
          <w:sz w:val="22"/>
          <w:szCs w:val="22"/>
        </w:rPr>
        <w:t>rról is határozott, hogy az év folyamán állandó vizsgálat alá kell vonni a rendeletben foglaltak életszerűségét és esetlegesen ki kell egészíteni az utóbb felmerülő tényállásokkal is.</w:t>
      </w:r>
      <w:r>
        <w:rPr>
          <w:rFonts w:ascii="Garamond" w:hAnsi="Garamond"/>
          <w:sz w:val="22"/>
          <w:szCs w:val="22"/>
        </w:rPr>
        <w:t xml:space="preserve"> Az alábbi előterjesztés </w:t>
      </w:r>
      <w:proofErr w:type="gramStart"/>
      <w:r>
        <w:rPr>
          <w:rFonts w:ascii="Garamond" w:hAnsi="Garamond"/>
          <w:sz w:val="22"/>
          <w:szCs w:val="22"/>
        </w:rPr>
        <w:t>ezen</w:t>
      </w:r>
      <w:proofErr w:type="gramEnd"/>
      <w:r>
        <w:rPr>
          <w:rFonts w:ascii="Garamond" w:hAnsi="Garamond"/>
          <w:sz w:val="22"/>
          <w:szCs w:val="22"/>
        </w:rPr>
        <w:t xml:space="preserve"> követelménynek hivatott eleget tenni.</w:t>
      </w:r>
    </w:p>
    <w:p w:rsidR="00964CC0" w:rsidRPr="00624C9C" w:rsidRDefault="00964CC0" w:rsidP="00964CC0">
      <w:pPr>
        <w:jc w:val="both"/>
        <w:rPr>
          <w:rFonts w:ascii="Garamond" w:hAnsi="Garamond"/>
          <w:b/>
          <w:sz w:val="22"/>
          <w:szCs w:val="22"/>
        </w:rPr>
      </w:pPr>
    </w:p>
    <w:p w:rsidR="00964CC0" w:rsidRPr="00624C9C" w:rsidRDefault="00964CC0" w:rsidP="008A1BE7">
      <w:pPr>
        <w:pStyle w:val="lista1"/>
        <w:jc w:val="center"/>
        <w:rPr>
          <w:rFonts w:ascii="Garamond" w:hAnsi="Garamond"/>
          <w:sz w:val="22"/>
          <w:szCs w:val="22"/>
        </w:rPr>
      </w:pPr>
      <w:r w:rsidRPr="00624C9C">
        <w:rPr>
          <w:rFonts w:ascii="Garamond" w:hAnsi="Garamond"/>
          <w:sz w:val="22"/>
          <w:szCs w:val="22"/>
        </w:rPr>
        <w:t>ÁLTALÁNOS INDOKOLÁS</w:t>
      </w:r>
    </w:p>
    <w:p w:rsidR="00964CC0" w:rsidRPr="008A1BE7" w:rsidRDefault="00964CC0" w:rsidP="00964CC0">
      <w:pPr>
        <w:jc w:val="both"/>
        <w:rPr>
          <w:rFonts w:ascii="Garamond" w:hAnsi="Garamond"/>
          <w:b/>
          <w:sz w:val="22"/>
          <w:szCs w:val="22"/>
        </w:rPr>
      </w:pPr>
    </w:p>
    <w:p w:rsidR="00FD0B5F" w:rsidRPr="008A1BE7" w:rsidRDefault="00964CC0" w:rsidP="00964CC0">
      <w:pPr>
        <w:jc w:val="both"/>
        <w:rPr>
          <w:rFonts w:ascii="Garamond" w:hAnsi="Garamond"/>
          <w:sz w:val="22"/>
          <w:szCs w:val="22"/>
        </w:rPr>
      </w:pPr>
      <w:r w:rsidRPr="008A1BE7">
        <w:rPr>
          <w:rFonts w:ascii="Garamond" w:hAnsi="Garamond"/>
          <w:sz w:val="22"/>
          <w:szCs w:val="22"/>
        </w:rPr>
        <w:t>Magyarország helyi önkormányzatairól szóló 2011. év</w:t>
      </w:r>
      <w:r w:rsidR="00FD0B5F" w:rsidRPr="008A1BE7">
        <w:rPr>
          <w:rFonts w:ascii="Garamond" w:hAnsi="Garamond"/>
          <w:sz w:val="22"/>
          <w:szCs w:val="22"/>
        </w:rPr>
        <w:t xml:space="preserve">i CLXXXIX törvény (Mötv.) 8. § (1) bekezdés b) pontja alapján a helyi közösség tagjai kötelesek betartani a közösségi együttélés alapvető szabályait. Ugyanezen jogszabályhely (2) bekezdése, illetve a 143. § (4) bekezdés d) pontja ad felhatalmazást a helyi önkormányzatoknak arra, hogy rendeletben határozza meg a közösségi együttélés alapvető szabályait és </w:t>
      </w:r>
      <w:proofErr w:type="gramStart"/>
      <w:r w:rsidR="00FD0B5F" w:rsidRPr="008A1BE7">
        <w:rPr>
          <w:rFonts w:ascii="Garamond" w:hAnsi="Garamond"/>
          <w:sz w:val="22"/>
          <w:szCs w:val="22"/>
        </w:rPr>
        <w:t>ezen</w:t>
      </w:r>
      <w:proofErr w:type="gramEnd"/>
      <w:r w:rsidR="00FD0B5F" w:rsidRPr="008A1BE7">
        <w:rPr>
          <w:rFonts w:ascii="Garamond" w:hAnsi="Garamond"/>
          <w:sz w:val="22"/>
          <w:szCs w:val="22"/>
        </w:rPr>
        <w:t xml:space="preserve"> szabályok elmulasztásának jogkövetkezményeit.</w:t>
      </w:r>
    </w:p>
    <w:p w:rsidR="00FD0B5F" w:rsidRPr="008A1BE7" w:rsidRDefault="00FD0B5F" w:rsidP="00964CC0">
      <w:pPr>
        <w:jc w:val="both"/>
        <w:rPr>
          <w:rFonts w:ascii="Garamond" w:hAnsi="Garamond"/>
          <w:sz w:val="22"/>
          <w:szCs w:val="22"/>
        </w:rPr>
      </w:pPr>
    </w:p>
    <w:p w:rsidR="002B45CE" w:rsidRPr="008A1BE7" w:rsidRDefault="008B0527" w:rsidP="00964CC0">
      <w:pPr>
        <w:jc w:val="both"/>
        <w:rPr>
          <w:rFonts w:ascii="Garamond" w:hAnsi="Garamond"/>
          <w:sz w:val="22"/>
          <w:szCs w:val="22"/>
        </w:rPr>
      </w:pPr>
      <w:r w:rsidRPr="008A1BE7">
        <w:rPr>
          <w:rFonts w:ascii="Garamond" w:hAnsi="Garamond"/>
          <w:sz w:val="22"/>
          <w:szCs w:val="22"/>
        </w:rPr>
        <w:t>Törökszentmiklós Városi Önkormányzat</w:t>
      </w:r>
      <w:r w:rsidR="00FD0B5F" w:rsidRPr="008A1BE7">
        <w:rPr>
          <w:rFonts w:ascii="Garamond" w:hAnsi="Garamond"/>
          <w:sz w:val="22"/>
          <w:szCs w:val="22"/>
        </w:rPr>
        <w:t xml:space="preserve"> Képviselő-testület</w:t>
      </w:r>
      <w:r w:rsidRPr="008A1BE7">
        <w:rPr>
          <w:rFonts w:ascii="Garamond" w:hAnsi="Garamond"/>
          <w:sz w:val="22"/>
          <w:szCs w:val="22"/>
        </w:rPr>
        <w:t>e</w:t>
      </w:r>
      <w:r w:rsidR="00FD0B5F" w:rsidRPr="008A1BE7">
        <w:rPr>
          <w:rFonts w:ascii="Garamond" w:hAnsi="Garamond"/>
          <w:sz w:val="22"/>
          <w:szCs w:val="22"/>
        </w:rPr>
        <w:t xml:space="preserve"> 2015. május 28. napján tartott ülésén alkotta meg a közösségi együttélés alapvető szabályairól és ezek megszegésének k</w:t>
      </w:r>
      <w:r w:rsidRPr="008A1BE7">
        <w:rPr>
          <w:rFonts w:ascii="Garamond" w:hAnsi="Garamond"/>
          <w:sz w:val="22"/>
          <w:szCs w:val="22"/>
        </w:rPr>
        <w:t>övetkezményeiről szóló 14/2015.</w:t>
      </w:r>
      <w:r w:rsidR="008935E7" w:rsidRPr="008A1BE7">
        <w:rPr>
          <w:rFonts w:ascii="Garamond" w:hAnsi="Garamond"/>
          <w:sz w:val="22"/>
          <w:szCs w:val="22"/>
        </w:rPr>
        <w:t>(V.29.) Ök. rendeletet</w:t>
      </w:r>
      <w:r w:rsidR="00C21C47" w:rsidRPr="008A1BE7">
        <w:rPr>
          <w:rFonts w:ascii="Garamond" w:hAnsi="Garamond"/>
          <w:sz w:val="22"/>
          <w:szCs w:val="22"/>
        </w:rPr>
        <w:t xml:space="preserve"> (továbbiakban: Rendelet)</w:t>
      </w:r>
      <w:r w:rsidR="008935E7" w:rsidRPr="008A1BE7">
        <w:rPr>
          <w:rFonts w:ascii="Garamond" w:hAnsi="Garamond"/>
          <w:sz w:val="22"/>
          <w:szCs w:val="22"/>
        </w:rPr>
        <w:t>.</w:t>
      </w:r>
      <w:r w:rsidR="00B01E0D" w:rsidRPr="008A1BE7">
        <w:rPr>
          <w:rFonts w:ascii="Garamond" w:hAnsi="Garamond"/>
          <w:sz w:val="22"/>
          <w:szCs w:val="22"/>
        </w:rPr>
        <w:t xml:space="preserve"> Ezzel egy időben határozott a R</w:t>
      </w:r>
      <w:r w:rsidR="008935E7" w:rsidRPr="008A1BE7">
        <w:rPr>
          <w:rFonts w:ascii="Garamond" w:hAnsi="Garamond"/>
          <w:sz w:val="22"/>
          <w:szCs w:val="22"/>
        </w:rPr>
        <w:t>endelet későbbi felülvizsgálatának szükségességéről, figyelembe véve azon körülményt, hogy előfordulhatnak olyan tevékenységgel, vagy mulasztással megvalósítható magatartási formák, amelyek a közösségi együttélés normáival</w:t>
      </w:r>
      <w:r w:rsidR="002B45CE" w:rsidRPr="008A1BE7">
        <w:rPr>
          <w:rFonts w:ascii="Garamond" w:hAnsi="Garamond"/>
          <w:sz w:val="22"/>
          <w:szCs w:val="22"/>
        </w:rPr>
        <w:t xml:space="preserve"> ellentétesek, de a szabályozási</w:t>
      </w:r>
      <w:r w:rsidR="008935E7" w:rsidRPr="008A1BE7">
        <w:rPr>
          <w:rFonts w:ascii="Garamond" w:hAnsi="Garamond"/>
          <w:sz w:val="22"/>
          <w:szCs w:val="22"/>
        </w:rPr>
        <w:t xml:space="preserve"> </w:t>
      </w:r>
      <w:r w:rsidR="002B45CE" w:rsidRPr="008A1BE7">
        <w:rPr>
          <w:rFonts w:ascii="Garamond" w:hAnsi="Garamond"/>
          <w:sz w:val="22"/>
          <w:szCs w:val="22"/>
        </w:rPr>
        <w:t>szükség</w:t>
      </w:r>
      <w:r w:rsidR="008935E7" w:rsidRPr="008A1BE7">
        <w:rPr>
          <w:rFonts w:ascii="Garamond" w:hAnsi="Garamond"/>
          <w:sz w:val="22"/>
          <w:szCs w:val="22"/>
        </w:rPr>
        <w:t xml:space="preserve"> </w:t>
      </w:r>
      <w:r w:rsidR="00B01E0D" w:rsidRPr="008A1BE7">
        <w:rPr>
          <w:rFonts w:ascii="Garamond" w:hAnsi="Garamond"/>
          <w:sz w:val="22"/>
          <w:szCs w:val="22"/>
        </w:rPr>
        <w:t>a R</w:t>
      </w:r>
      <w:r w:rsidR="002B45CE" w:rsidRPr="008A1BE7">
        <w:rPr>
          <w:rFonts w:ascii="Garamond" w:hAnsi="Garamond"/>
          <w:sz w:val="22"/>
          <w:szCs w:val="22"/>
        </w:rPr>
        <w:t>endelet alkotás időpontjában nem volt ismert.</w:t>
      </w:r>
    </w:p>
    <w:p w:rsidR="008B0527" w:rsidRPr="008A1BE7" w:rsidRDefault="008B0527" w:rsidP="00964CC0">
      <w:pPr>
        <w:jc w:val="both"/>
        <w:rPr>
          <w:rFonts w:ascii="Garamond" w:hAnsi="Garamond"/>
          <w:sz w:val="22"/>
          <w:szCs w:val="22"/>
        </w:rPr>
      </w:pPr>
    </w:p>
    <w:p w:rsidR="00C21C47" w:rsidRPr="008A1BE7" w:rsidRDefault="00C21C47" w:rsidP="00964CC0">
      <w:pPr>
        <w:jc w:val="both"/>
        <w:rPr>
          <w:rFonts w:ascii="Garamond" w:hAnsi="Garamond"/>
          <w:sz w:val="22"/>
          <w:szCs w:val="22"/>
        </w:rPr>
      </w:pPr>
      <w:r w:rsidRPr="008A1BE7">
        <w:rPr>
          <w:rFonts w:ascii="Garamond" w:hAnsi="Garamond"/>
          <w:sz w:val="22"/>
          <w:szCs w:val="22"/>
        </w:rPr>
        <w:t>A Rendelet 1. § (2) bekezdése – harmonizálva a magyar jogrendszer hierarchiájában magasabb szintű jogszabályok rendelkezéseivel – kimondja, hogy nem minősíthető közösségi együttélés alapvető szabályaiba ütköző magatartásként az olyan magatartási szabályok (cselekmények, mulasztások, jogellenes állapot fenntartása) megsértése, amelyeket magasabb szintű jogszabály bűncselekménynek vagy szabálysértésnek minősít, vagy más módon szankcionál (pl.: közigazgatási bírság).</w:t>
      </w:r>
    </w:p>
    <w:p w:rsidR="00C21C47" w:rsidRPr="008A1BE7" w:rsidRDefault="00C21C47" w:rsidP="00964CC0">
      <w:pPr>
        <w:jc w:val="both"/>
        <w:rPr>
          <w:rFonts w:ascii="Garamond" w:hAnsi="Garamond"/>
          <w:sz w:val="22"/>
          <w:szCs w:val="22"/>
        </w:rPr>
      </w:pPr>
    </w:p>
    <w:p w:rsidR="00A60007" w:rsidRPr="008A1BE7" w:rsidRDefault="00B01E0D" w:rsidP="00964CC0">
      <w:pPr>
        <w:jc w:val="both"/>
        <w:rPr>
          <w:rFonts w:ascii="Garamond" w:hAnsi="Garamond"/>
          <w:sz w:val="22"/>
          <w:szCs w:val="22"/>
        </w:rPr>
      </w:pPr>
      <w:r w:rsidRPr="008A1BE7">
        <w:rPr>
          <w:rFonts w:ascii="Garamond" w:hAnsi="Garamond"/>
          <w:sz w:val="22"/>
          <w:szCs w:val="22"/>
        </w:rPr>
        <w:t>A R</w:t>
      </w:r>
      <w:r w:rsidR="00A60007" w:rsidRPr="008A1BE7">
        <w:rPr>
          <w:rFonts w:ascii="Garamond" w:hAnsi="Garamond"/>
          <w:sz w:val="22"/>
          <w:szCs w:val="22"/>
        </w:rPr>
        <w:t>endelet alkotásának időpontjában a Képviselő-testület az alábbi magatartások kriminalizálási</w:t>
      </w:r>
      <w:r w:rsidR="00A16BD6" w:rsidRPr="008A1BE7">
        <w:rPr>
          <w:rFonts w:ascii="Garamond" w:hAnsi="Garamond"/>
          <w:sz w:val="22"/>
          <w:szCs w:val="22"/>
        </w:rPr>
        <w:t xml:space="preserve">, illetve </w:t>
      </w:r>
      <w:proofErr w:type="spellStart"/>
      <w:r w:rsidR="00A16BD6" w:rsidRPr="008A1BE7">
        <w:rPr>
          <w:rFonts w:ascii="Garamond" w:hAnsi="Garamond"/>
          <w:sz w:val="22"/>
          <w:szCs w:val="22"/>
        </w:rPr>
        <w:t>dekriminalizálási</w:t>
      </w:r>
      <w:proofErr w:type="spellEnd"/>
      <w:r w:rsidR="00A60007" w:rsidRPr="008A1BE7">
        <w:rPr>
          <w:rFonts w:ascii="Garamond" w:hAnsi="Garamond"/>
          <w:sz w:val="22"/>
          <w:szCs w:val="22"/>
        </w:rPr>
        <w:t xml:space="preserve"> lehetőségét kérte megvizsgálni</w:t>
      </w:r>
      <w:r w:rsidR="00A16BD6" w:rsidRPr="008A1BE7">
        <w:rPr>
          <w:rFonts w:ascii="Garamond" w:hAnsi="Garamond"/>
          <w:sz w:val="22"/>
          <w:szCs w:val="22"/>
        </w:rPr>
        <w:t xml:space="preserve"> a</w:t>
      </w:r>
      <w:r w:rsidRPr="008A1BE7">
        <w:rPr>
          <w:rFonts w:ascii="Garamond" w:hAnsi="Garamond"/>
          <w:sz w:val="22"/>
          <w:szCs w:val="22"/>
        </w:rPr>
        <w:t xml:space="preserve"> későbbiekben megtartott</w:t>
      </w:r>
      <w:r w:rsidR="00A16BD6" w:rsidRPr="008A1BE7">
        <w:rPr>
          <w:rFonts w:ascii="Garamond" w:hAnsi="Garamond"/>
          <w:sz w:val="22"/>
          <w:szCs w:val="22"/>
        </w:rPr>
        <w:t xml:space="preserve"> felülvizsgálat során</w:t>
      </w:r>
      <w:r w:rsidR="00A60007" w:rsidRPr="008A1BE7">
        <w:rPr>
          <w:rFonts w:ascii="Garamond" w:hAnsi="Garamond"/>
          <w:sz w:val="22"/>
          <w:szCs w:val="22"/>
        </w:rPr>
        <w:t>:</w:t>
      </w:r>
    </w:p>
    <w:p w:rsidR="00A60007" w:rsidRPr="008A1BE7" w:rsidRDefault="00A60007" w:rsidP="00A60007">
      <w:pPr>
        <w:pStyle w:val="Listaszerbekezds"/>
        <w:numPr>
          <w:ilvl w:val="0"/>
          <w:numId w:val="4"/>
        </w:numPr>
        <w:jc w:val="both"/>
        <w:rPr>
          <w:rFonts w:ascii="Garamond" w:hAnsi="Garamond"/>
          <w:sz w:val="22"/>
          <w:szCs w:val="22"/>
        </w:rPr>
      </w:pPr>
      <w:r w:rsidRPr="008A1BE7">
        <w:rPr>
          <w:rFonts w:ascii="Garamond" w:hAnsi="Garamond"/>
          <w:sz w:val="22"/>
          <w:szCs w:val="22"/>
        </w:rPr>
        <w:t>guberálás</w:t>
      </w:r>
    </w:p>
    <w:p w:rsidR="00A60007" w:rsidRPr="008A1BE7" w:rsidRDefault="00A60007" w:rsidP="00A60007">
      <w:pPr>
        <w:pStyle w:val="Listaszerbekezds"/>
        <w:numPr>
          <w:ilvl w:val="0"/>
          <w:numId w:val="4"/>
        </w:numPr>
        <w:jc w:val="both"/>
        <w:rPr>
          <w:rFonts w:ascii="Garamond" w:hAnsi="Garamond"/>
          <w:sz w:val="22"/>
          <w:szCs w:val="22"/>
        </w:rPr>
      </w:pPr>
      <w:r w:rsidRPr="008A1BE7">
        <w:rPr>
          <w:rFonts w:ascii="Garamond" w:hAnsi="Garamond"/>
          <w:sz w:val="22"/>
          <w:szCs w:val="22"/>
        </w:rPr>
        <w:t>házaló kereskedés</w:t>
      </w:r>
    </w:p>
    <w:p w:rsidR="00A16BD6" w:rsidRPr="008A1BE7" w:rsidRDefault="00A16BD6" w:rsidP="00A60007">
      <w:pPr>
        <w:pStyle w:val="Listaszerbekezds"/>
        <w:numPr>
          <w:ilvl w:val="0"/>
          <w:numId w:val="4"/>
        </w:numPr>
        <w:jc w:val="both"/>
        <w:rPr>
          <w:rFonts w:ascii="Garamond" w:hAnsi="Garamond"/>
          <w:sz w:val="22"/>
          <w:szCs w:val="22"/>
        </w:rPr>
      </w:pPr>
      <w:r w:rsidRPr="008A1BE7">
        <w:rPr>
          <w:rFonts w:ascii="Garamond" w:hAnsi="Garamond"/>
          <w:sz w:val="22"/>
          <w:szCs w:val="22"/>
        </w:rPr>
        <w:t>kerti gyümölcs és egyéb fák részeinek betegség, illetve fertőzés miatti metszéséből származó kerti hulladék elégetése, mint kivétel alkalmazása</w:t>
      </w:r>
    </w:p>
    <w:p w:rsidR="00A16BD6" w:rsidRPr="008A1BE7" w:rsidRDefault="00A16BD6" w:rsidP="00A16BD6">
      <w:pPr>
        <w:jc w:val="both"/>
        <w:rPr>
          <w:rFonts w:ascii="Garamond" w:hAnsi="Garamond"/>
          <w:sz w:val="22"/>
          <w:szCs w:val="22"/>
        </w:rPr>
      </w:pPr>
    </w:p>
    <w:p w:rsidR="00C332E3" w:rsidRPr="008A1BE7" w:rsidRDefault="00C332E3" w:rsidP="00A16BD6">
      <w:pPr>
        <w:jc w:val="both"/>
        <w:rPr>
          <w:rFonts w:ascii="Garamond" w:hAnsi="Garamond"/>
          <w:sz w:val="22"/>
          <w:szCs w:val="22"/>
        </w:rPr>
      </w:pPr>
      <w:r w:rsidRPr="008A1BE7">
        <w:rPr>
          <w:rFonts w:ascii="Garamond" w:hAnsi="Garamond"/>
          <w:sz w:val="22"/>
          <w:szCs w:val="22"/>
        </w:rPr>
        <w:t xml:space="preserve">A felülvizsgálat a Képviselő-testület fenti iránymutatása, valamint az időközben felmerült szabályozási igények alapján történt. A felülvizsgálat során hatásvizsgálat történt a tekintetben is, hogy a Rendelet által </w:t>
      </w:r>
      <w:proofErr w:type="spellStart"/>
      <w:r w:rsidRPr="008A1BE7">
        <w:rPr>
          <w:rFonts w:ascii="Garamond" w:hAnsi="Garamond"/>
          <w:sz w:val="22"/>
          <w:szCs w:val="22"/>
        </w:rPr>
        <w:t>pönalizált</w:t>
      </w:r>
      <w:proofErr w:type="spellEnd"/>
      <w:r w:rsidRPr="008A1BE7">
        <w:rPr>
          <w:rFonts w:ascii="Garamond" w:hAnsi="Garamond"/>
          <w:sz w:val="22"/>
          <w:szCs w:val="22"/>
        </w:rPr>
        <w:t xml:space="preserve"> tényállások mennyire felelnek meg 1. § (2) bekezdésében rögzített kitételnek.  </w:t>
      </w:r>
    </w:p>
    <w:p w:rsidR="00C332E3" w:rsidRPr="008A1BE7" w:rsidRDefault="00C332E3" w:rsidP="00A16BD6">
      <w:pPr>
        <w:jc w:val="both"/>
        <w:rPr>
          <w:rFonts w:ascii="Garamond" w:hAnsi="Garamond"/>
          <w:sz w:val="22"/>
          <w:szCs w:val="22"/>
        </w:rPr>
      </w:pPr>
    </w:p>
    <w:p w:rsidR="00C332E3" w:rsidRPr="008A1BE7" w:rsidRDefault="00C332E3" w:rsidP="00A16BD6">
      <w:pPr>
        <w:jc w:val="both"/>
        <w:rPr>
          <w:rFonts w:ascii="Garamond" w:hAnsi="Garamond"/>
          <w:sz w:val="22"/>
          <w:szCs w:val="22"/>
          <w:u w:val="single"/>
        </w:rPr>
      </w:pPr>
      <w:r w:rsidRPr="008A1BE7">
        <w:rPr>
          <w:rFonts w:ascii="Garamond" w:hAnsi="Garamond"/>
          <w:sz w:val="22"/>
          <w:szCs w:val="22"/>
          <w:u w:val="single"/>
        </w:rPr>
        <w:t>Guberálás</w:t>
      </w:r>
    </w:p>
    <w:p w:rsidR="00032E71" w:rsidRPr="008A1BE7" w:rsidRDefault="00032E71" w:rsidP="00A16BD6">
      <w:pPr>
        <w:jc w:val="both"/>
        <w:rPr>
          <w:rFonts w:ascii="Garamond" w:hAnsi="Garamond"/>
          <w:sz w:val="22"/>
          <w:szCs w:val="22"/>
          <w:u w:val="single"/>
        </w:rPr>
      </w:pPr>
    </w:p>
    <w:p w:rsidR="00BF4CEB" w:rsidRPr="008A1BE7" w:rsidRDefault="00C332E3" w:rsidP="00A16BD6">
      <w:pPr>
        <w:jc w:val="both"/>
        <w:rPr>
          <w:rFonts w:ascii="Garamond" w:hAnsi="Garamond"/>
          <w:sz w:val="22"/>
          <w:szCs w:val="22"/>
        </w:rPr>
      </w:pPr>
      <w:r w:rsidRPr="008A1BE7">
        <w:rPr>
          <w:rFonts w:ascii="Garamond" w:hAnsi="Garamond"/>
          <w:sz w:val="22"/>
          <w:szCs w:val="22"/>
        </w:rPr>
        <w:t xml:space="preserve">Magyarország Országgyűlése 2011. december 23-ai ülésnapján fogadta el a szabálysértésekről, a szabálysértési eljárásról és a szabálysértési nyilvántartási rendszerről szóló 2012. évi II. törvényt (továbbiakban: </w:t>
      </w:r>
      <w:proofErr w:type="spellStart"/>
      <w:r w:rsidRPr="008A1BE7">
        <w:rPr>
          <w:rFonts w:ascii="Garamond" w:hAnsi="Garamond"/>
          <w:sz w:val="22"/>
          <w:szCs w:val="22"/>
        </w:rPr>
        <w:t>Szabs</w:t>
      </w:r>
      <w:proofErr w:type="spellEnd"/>
      <w:r w:rsidRPr="008A1BE7">
        <w:rPr>
          <w:rFonts w:ascii="Garamond" w:hAnsi="Garamond"/>
          <w:sz w:val="22"/>
          <w:szCs w:val="22"/>
        </w:rPr>
        <w:t xml:space="preserve">. </w:t>
      </w:r>
      <w:proofErr w:type="gramStart"/>
      <w:r w:rsidRPr="008A1BE7">
        <w:rPr>
          <w:rFonts w:ascii="Garamond" w:hAnsi="Garamond"/>
          <w:sz w:val="22"/>
          <w:szCs w:val="22"/>
        </w:rPr>
        <w:t>tv</w:t>
      </w:r>
      <w:proofErr w:type="gramEnd"/>
      <w:r w:rsidRPr="008A1BE7">
        <w:rPr>
          <w:rFonts w:ascii="Garamond" w:hAnsi="Garamond"/>
          <w:sz w:val="22"/>
          <w:szCs w:val="22"/>
        </w:rPr>
        <w:t xml:space="preserve">.). A jogszabály 2012. április 15. napjától lépett hatályba. Az elfogadott jogszabály 196. § (3) bekezdése </w:t>
      </w:r>
      <w:r w:rsidR="00220BAC" w:rsidRPr="008A1BE7">
        <w:rPr>
          <w:rFonts w:ascii="Garamond" w:hAnsi="Garamond"/>
          <w:sz w:val="22"/>
          <w:szCs w:val="22"/>
        </w:rPr>
        <w:t>úgy rendelkezett</w:t>
      </w:r>
      <w:r w:rsidR="00916B12" w:rsidRPr="008A1BE7">
        <w:rPr>
          <w:rFonts w:ascii="Garamond" w:hAnsi="Garamond"/>
          <w:sz w:val="22"/>
          <w:szCs w:val="22"/>
        </w:rPr>
        <w:t xml:space="preserve">, hogy aki a közszolgáltató elkülönített hulladékgyűjtést szolgáló gyűjtőeszközéből hulladékot vesz el, szabálysértést követ el. Ez a rendelkezés a maga nemében azért volt korszakalkotó, mert társadalmi nyomásra 2012. április 15. napjától büntetni rendelte volna a guberálást. Azonban </w:t>
      </w:r>
      <w:proofErr w:type="gramStart"/>
      <w:r w:rsidR="00916B12" w:rsidRPr="008A1BE7">
        <w:rPr>
          <w:rFonts w:ascii="Garamond" w:hAnsi="Garamond"/>
          <w:sz w:val="22"/>
          <w:szCs w:val="22"/>
        </w:rPr>
        <w:t>ezen</w:t>
      </w:r>
      <w:proofErr w:type="gramEnd"/>
      <w:r w:rsidR="00916B12" w:rsidRPr="008A1BE7">
        <w:rPr>
          <w:rFonts w:ascii="Garamond" w:hAnsi="Garamond"/>
          <w:sz w:val="22"/>
          <w:szCs w:val="22"/>
        </w:rPr>
        <w:t xml:space="preserve"> rendelkezés sosem lépett hatályba mivel a 2012. április 14. napján hatályba lépett, a szabálysértésekről, a szabálysértési eljárásról és a szabálysértési nyilvántartási rendszerről szóló 2012. évi II. törvény és az azzal összefüggő egyes törvények módosításáról, valamint a katasztrófavédelemmel kapcsolatos egyes törvényi rendelkezések módosításáról szóló 2012. évi XXXI. törvény nem léptette hatályba a </w:t>
      </w:r>
      <w:proofErr w:type="spellStart"/>
      <w:r w:rsidR="00916B12" w:rsidRPr="008A1BE7">
        <w:rPr>
          <w:rFonts w:ascii="Garamond" w:hAnsi="Garamond"/>
          <w:sz w:val="22"/>
          <w:szCs w:val="22"/>
        </w:rPr>
        <w:t>Szabs</w:t>
      </w:r>
      <w:proofErr w:type="spellEnd"/>
      <w:r w:rsidR="00916B12" w:rsidRPr="008A1BE7">
        <w:rPr>
          <w:rFonts w:ascii="Garamond" w:hAnsi="Garamond"/>
          <w:sz w:val="22"/>
          <w:szCs w:val="22"/>
        </w:rPr>
        <w:t xml:space="preserve">. </w:t>
      </w:r>
      <w:proofErr w:type="gramStart"/>
      <w:r w:rsidR="00916B12" w:rsidRPr="008A1BE7">
        <w:rPr>
          <w:rFonts w:ascii="Garamond" w:hAnsi="Garamond"/>
          <w:sz w:val="22"/>
          <w:szCs w:val="22"/>
        </w:rPr>
        <w:t>tv</w:t>
      </w:r>
      <w:proofErr w:type="gramEnd"/>
      <w:r w:rsidR="00916B12" w:rsidRPr="008A1BE7">
        <w:rPr>
          <w:rFonts w:ascii="Garamond" w:hAnsi="Garamond"/>
          <w:sz w:val="22"/>
          <w:szCs w:val="22"/>
        </w:rPr>
        <w:t>. 196. § (3) bekezdését. A törvény indoklásában nem található utalás arra, hogy a jogalkotó milyen okból visszakozott a cselekmény büntethetőségének megállapításától. Azonban jelen esetben útmutatóként szolgálhat az Alkotmánybíróság 176/2011. (XII.29.) AB határozata, mely megállapította, hogy Kaposvár Megyei Jogú Város Önkormányzat szabálysértésekről szóló 33/2005. (VI.27.) számú önkormányzati rendeletének 14. § (2) bekezdése alkotmán</w:t>
      </w:r>
      <w:r w:rsidR="00C85522" w:rsidRPr="008A1BE7">
        <w:rPr>
          <w:rFonts w:ascii="Garamond" w:hAnsi="Garamond"/>
          <w:sz w:val="22"/>
          <w:szCs w:val="22"/>
        </w:rPr>
        <w:t>yellenes, ezért azt megsemmisítette</w:t>
      </w:r>
      <w:r w:rsidR="00916B12" w:rsidRPr="008A1BE7">
        <w:rPr>
          <w:rFonts w:ascii="Garamond" w:hAnsi="Garamond"/>
          <w:sz w:val="22"/>
          <w:szCs w:val="22"/>
        </w:rPr>
        <w:t xml:space="preserve">. </w:t>
      </w:r>
      <w:r w:rsidR="00F40962" w:rsidRPr="008A1BE7">
        <w:rPr>
          <w:rFonts w:ascii="Garamond" w:hAnsi="Garamond"/>
          <w:sz w:val="22"/>
          <w:szCs w:val="22"/>
        </w:rPr>
        <w:t>A fenti jogszabályhely a guberálás szabálysértési tényállás minősítéséről rendelkezett.</w:t>
      </w:r>
      <w:r w:rsidR="00C535C0" w:rsidRPr="008A1BE7">
        <w:rPr>
          <w:rFonts w:ascii="Garamond" w:hAnsi="Garamond"/>
          <w:sz w:val="22"/>
          <w:szCs w:val="22"/>
        </w:rPr>
        <w:t xml:space="preserve"> Az </w:t>
      </w:r>
      <w:r w:rsidR="00C535C0" w:rsidRPr="008A1BE7">
        <w:rPr>
          <w:rFonts w:ascii="Garamond" w:hAnsi="Garamond"/>
          <w:sz w:val="22"/>
          <w:szCs w:val="22"/>
        </w:rPr>
        <w:lastRenderedPageBreak/>
        <w:t xml:space="preserve">Alkotmánybíróság döntésében kimondta, hogy az általános cselekvési szabadság védelméből következően az állam köteles az egyén szabadságát tiszteletben tartani, függetlenül attól, hogy az egyéni cselekedet valamely speciális, erős védelemben részesülő alapvető </w:t>
      </w:r>
      <w:proofErr w:type="gramStart"/>
      <w:r w:rsidR="00C535C0" w:rsidRPr="008A1BE7">
        <w:rPr>
          <w:rFonts w:ascii="Garamond" w:hAnsi="Garamond"/>
          <w:sz w:val="22"/>
          <w:szCs w:val="22"/>
        </w:rPr>
        <w:t>jog védelmi</w:t>
      </w:r>
      <w:proofErr w:type="gramEnd"/>
      <w:r w:rsidR="00C535C0" w:rsidRPr="008A1BE7">
        <w:rPr>
          <w:rFonts w:ascii="Garamond" w:hAnsi="Garamond"/>
          <w:sz w:val="22"/>
          <w:szCs w:val="22"/>
        </w:rPr>
        <w:t xml:space="preserve"> körébe tartozik-e</w:t>
      </w:r>
      <w:r w:rsidR="000F33E6" w:rsidRPr="008A1BE7">
        <w:rPr>
          <w:rFonts w:ascii="Garamond" w:hAnsi="Garamond"/>
          <w:sz w:val="22"/>
          <w:szCs w:val="22"/>
        </w:rPr>
        <w:t>, vagy sem</w:t>
      </w:r>
      <w:r w:rsidR="00C535C0" w:rsidRPr="008A1BE7">
        <w:rPr>
          <w:rFonts w:ascii="Garamond" w:hAnsi="Garamond"/>
          <w:sz w:val="22"/>
          <w:szCs w:val="22"/>
        </w:rPr>
        <w:t>. Az állam intézményei az egyének szabadságába önkényes módon nem avatkozhatnak be, minden egyén érdekét egyenlően kell mérlegelnie és a szabadságkorlátozást megfelelően, racionális érvekkel kell indokolnia. Jogszabály ezért akkor minősíthet egy magatartást egyéni jogot vagy közrendet sértőnek, következésképpen tilalmasnak, ha annak van megfelelő alkotmányos indoka. Az Alkotmánybíróság rámutatott arra is, hogy a guberálás kifejezés a köznapi használatban a még használható, esetleg értékkel bíró dolgok szemétben való keresésére, kiválogatására utal. Ez a cselekmény nem jár szükségképpen együtt a környezet szennyezésével, ezért általában és önmagában a környezetvédelem, köztisztaság szempontja nem indokolja a guberálás szankcionálását.</w:t>
      </w:r>
      <w:r w:rsidR="00475EDB" w:rsidRPr="008A1BE7">
        <w:rPr>
          <w:rFonts w:ascii="Garamond" w:hAnsi="Garamond"/>
          <w:sz w:val="22"/>
          <w:szCs w:val="22"/>
        </w:rPr>
        <w:t xml:space="preserve"> Ha a guberálás mégis szemetelést eredményez, akkor az elkövető a szabálysértési </w:t>
      </w:r>
      <w:r w:rsidR="00CE1940" w:rsidRPr="008A1BE7">
        <w:rPr>
          <w:rFonts w:ascii="Garamond" w:hAnsi="Garamond"/>
          <w:sz w:val="22"/>
          <w:szCs w:val="22"/>
        </w:rPr>
        <w:t>jogszabályok rendelkezései szerint</w:t>
      </w:r>
      <w:r w:rsidR="00220BAC" w:rsidRPr="008A1BE7">
        <w:rPr>
          <w:rFonts w:ascii="Garamond" w:hAnsi="Garamond"/>
          <w:sz w:val="22"/>
          <w:szCs w:val="22"/>
        </w:rPr>
        <w:t xml:space="preserve"> jelenleg is</w:t>
      </w:r>
      <w:r w:rsidR="00CE1940" w:rsidRPr="008A1BE7">
        <w:rPr>
          <w:rFonts w:ascii="Garamond" w:hAnsi="Garamond"/>
          <w:sz w:val="22"/>
          <w:szCs w:val="22"/>
        </w:rPr>
        <w:t xml:space="preserve"> felelősségre vonható. Az Alkotmánybíróság azt is kifejtette, hogy a közrendre és köznyugalomra vonatkozó elvont alkotmányos értékek sem indokolhatják a cselekmény </w:t>
      </w:r>
      <w:proofErr w:type="spellStart"/>
      <w:r w:rsidR="00CE1940" w:rsidRPr="008A1BE7">
        <w:rPr>
          <w:rFonts w:ascii="Garamond" w:hAnsi="Garamond"/>
          <w:sz w:val="22"/>
          <w:szCs w:val="22"/>
        </w:rPr>
        <w:t>pönalizálását</w:t>
      </w:r>
      <w:proofErr w:type="spellEnd"/>
      <w:r w:rsidR="00CE1940" w:rsidRPr="008A1BE7">
        <w:rPr>
          <w:rFonts w:ascii="Garamond" w:hAnsi="Garamond"/>
          <w:sz w:val="22"/>
          <w:szCs w:val="22"/>
        </w:rPr>
        <w:t>. Ellenkező esetben ugyanis a közterületen zajló tevékenységek túlnyomó többsége szankcionálhatóvá válna. A városképre, a lakók közérzetére zavaróan ható és többnyire zajjal</w:t>
      </w:r>
      <w:r w:rsidR="000F33E6" w:rsidRPr="008A1BE7">
        <w:rPr>
          <w:rFonts w:ascii="Garamond" w:hAnsi="Garamond"/>
          <w:sz w:val="22"/>
          <w:szCs w:val="22"/>
        </w:rPr>
        <w:t xml:space="preserve"> járó</w:t>
      </w:r>
      <w:r w:rsidR="00CE1940" w:rsidRPr="008A1BE7">
        <w:rPr>
          <w:rFonts w:ascii="Garamond" w:hAnsi="Garamond"/>
          <w:sz w:val="22"/>
          <w:szCs w:val="22"/>
        </w:rPr>
        <w:t xml:space="preserve"> tevékenységek önmagukban nem szolgáltathatnak alapot a cselekmény tiltására. Az Alkotmánybíróság figyelemmel volt arra is, hogy az önkormányzat által szankcionált guberálás többnyire egzisztenciális kényszerűségből következő emberi cselekvés, az esetek túlnyomó többségében nem szabad választásuk eredményeképpen guberálnak, hanem azért mert nincs más választásuk, vagy nem látnak más választási lehetőséget. A guberálás ugyan nem alapvető jog, de nem lehet eltekinteni attól,</w:t>
      </w:r>
      <w:r w:rsidR="00220BAC" w:rsidRPr="008A1BE7">
        <w:rPr>
          <w:rFonts w:ascii="Garamond" w:hAnsi="Garamond"/>
          <w:sz w:val="22"/>
          <w:szCs w:val="22"/>
        </w:rPr>
        <w:t xml:space="preserve"> hogy a guberálásra kényszerülő, jellemzően a megélhetési minimumhoz szükséges javakat nélkülöző, nyomorúságos helyzetben lévő ember az összes többi, emberi minőségéhez kapcsolódó jogával sem tud élni. Ennek függvényében a guberálási tevékenység többnyire az életben maradáshoz szükséges javak megszerzésére irányuló, mások jogait és a közrendet nem sértő kényszerű cselekvés, amelynek társadalomra való veszélyessége nem állapítható meg. Mindezért az Alkotmánybíróság megállapította, hogy Kaposvár Megyei Jogú Város Közgyűlése túllépett jogalkotó hatáskörének keretein.</w:t>
      </w:r>
    </w:p>
    <w:p w:rsidR="00220BAC" w:rsidRPr="008A1BE7" w:rsidRDefault="00220BAC" w:rsidP="00A16BD6">
      <w:pPr>
        <w:jc w:val="both"/>
        <w:rPr>
          <w:rFonts w:ascii="Garamond" w:hAnsi="Garamond"/>
          <w:sz w:val="22"/>
          <w:szCs w:val="22"/>
        </w:rPr>
      </w:pPr>
    </w:p>
    <w:p w:rsidR="00EF7293" w:rsidRPr="008A1BE7" w:rsidRDefault="001B43D1" w:rsidP="00A16BD6">
      <w:pPr>
        <w:jc w:val="both"/>
        <w:rPr>
          <w:rFonts w:ascii="Garamond" w:hAnsi="Garamond"/>
          <w:sz w:val="22"/>
          <w:szCs w:val="22"/>
        </w:rPr>
      </w:pPr>
      <w:r w:rsidRPr="008A1BE7">
        <w:rPr>
          <w:rFonts w:ascii="Garamond" w:hAnsi="Garamond"/>
          <w:sz w:val="22"/>
          <w:szCs w:val="22"/>
        </w:rPr>
        <w:t xml:space="preserve">A fenti </w:t>
      </w:r>
      <w:r w:rsidR="00EF7293" w:rsidRPr="008A1BE7">
        <w:rPr>
          <w:rFonts w:ascii="Garamond" w:hAnsi="Garamond"/>
          <w:sz w:val="22"/>
          <w:szCs w:val="22"/>
        </w:rPr>
        <w:t>okfejtés alapján kijelenthető, hogy a guberálás, mint önállóan tiltott cselekménytípus nem képezheti a helyi jogalkotás tárgyát, büntethetővé tétele gyaníthatóan az Alaptörvénybe ütközne, ezáltal szabályozása mindenképpen aggályos.</w:t>
      </w:r>
    </w:p>
    <w:p w:rsidR="00EF7293" w:rsidRPr="008A1BE7" w:rsidRDefault="00EF7293" w:rsidP="00A16BD6">
      <w:pPr>
        <w:jc w:val="both"/>
        <w:rPr>
          <w:rFonts w:ascii="Garamond" w:hAnsi="Garamond"/>
          <w:sz w:val="22"/>
          <w:szCs w:val="22"/>
        </w:rPr>
      </w:pPr>
    </w:p>
    <w:p w:rsidR="00EF7293" w:rsidRPr="008A1BE7" w:rsidRDefault="00EF7293" w:rsidP="00A16BD6">
      <w:pPr>
        <w:jc w:val="both"/>
        <w:rPr>
          <w:rFonts w:ascii="Garamond" w:hAnsi="Garamond"/>
          <w:sz w:val="22"/>
          <w:szCs w:val="22"/>
          <w:u w:val="single"/>
        </w:rPr>
      </w:pPr>
      <w:r w:rsidRPr="008A1BE7">
        <w:rPr>
          <w:rFonts w:ascii="Garamond" w:hAnsi="Garamond"/>
          <w:sz w:val="22"/>
          <w:szCs w:val="22"/>
          <w:u w:val="single"/>
        </w:rPr>
        <w:t>Házaló kereskedés</w:t>
      </w:r>
    </w:p>
    <w:p w:rsidR="00032E71" w:rsidRPr="008A1BE7" w:rsidRDefault="00032E71" w:rsidP="00A16BD6">
      <w:pPr>
        <w:jc w:val="both"/>
        <w:rPr>
          <w:rFonts w:ascii="Garamond" w:hAnsi="Garamond"/>
          <w:sz w:val="22"/>
          <w:szCs w:val="22"/>
          <w:u w:val="single"/>
        </w:rPr>
      </w:pPr>
    </w:p>
    <w:p w:rsidR="00315E7A" w:rsidRPr="008A1BE7" w:rsidRDefault="003E35E8" w:rsidP="00A16BD6">
      <w:pPr>
        <w:jc w:val="both"/>
        <w:rPr>
          <w:rFonts w:ascii="Garamond" w:hAnsi="Garamond"/>
          <w:sz w:val="22"/>
          <w:szCs w:val="22"/>
        </w:rPr>
      </w:pPr>
      <w:r w:rsidRPr="008A1BE7">
        <w:rPr>
          <w:rFonts w:ascii="Garamond" w:hAnsi="Garamond"/>
          <w:sz w:val="22"/>
          <w:szCs w:val="22"/>
        </w:rPr>
        <w:t xml:space="preserve">A kereskedelemről szóló 2005. évi CLXIV. törvény (továbbiakban: </w:t>
      </w:r>
      <w:proofErr w:type="spellStart"/>
      <w:r w:rsidRPr="008A1BE7">
        <w:rPr>
          <w:rFonts w:ascii="Garamond" w:hAnsi="Garamond"/>
          <w:sz w:val="22"/>
          <w:szCs w:val="22"/>
        </w:rPr>
        <w:t>Kertv</w:t>
      </w:r>
      <w:proofErr w:type="spellEnd"/>
      <w:r w:rsidRPr="008A1BE7">
        <w:rPr>
          <w:rFonts w:ascii="Garamond" w:hAnsi="Garamond"/>
          <w:sz w:val="22"/>
          <w:szCs w:val="22"/>
        </w:rPr>
        <w:t xml:space="preserve">.) ismeri az üzleten kívüli kereskedelem (a kereskedő vagy megbízottja termék forgalmazása céljából a vásárlót a lakásán, vagy munkahelyén, illetve más tartózkodási helyén felkeresi, annak kifejezett kérése nélkül) fogalmát. A </w:t>
      </w:r>
      <w:proofErr w:type="spellStart"/>
      <w:r w:rsidRPr="008A1BE7">
        <w:rPr>
          <w:rFonts w:ascii="Garamond" w:hAnsi="Garamond"/>
          <w:sz w:val="22"/>
          <w:szCs w:val="22"/>
        </w:rPr>
        <w:t>Kertv</w:t>
      </w:r>
      <w:proofErr w:type="spellEnd"/>
      <w:r w:rsidRPr="008A1BE7">
        <w:rPr>
          <w:rFonts w:ascii="Garamond" w:hAnsi="Garamond"/>
          <w:sz w:val="22"/>
          <w:szCs w:val="22"/>
        </w:rPr>
        <w:t xml:space="preserve">. </w:t>
      </w:r>
      <w:proofErr w:type="gramStart"/>
      <w:r w:rsidRPr="008A1BE7">
        <w:rPr>
          <w:rFonts w:ascii="Garamond" w:hAnsi="Garamond"/>
          <w:sz w:val="22"/>
          <w:szCs w:val="22"/>
        </w:rPr>
        <w:t>szerint</w:t>
      </w:r>
      <w:proofErr w:type="gramEnd"/>
      <w:r w:rsidRPr="008A1BE7">
        <w:rPr>
          <w:rFonts w:ascii="Garamond" w:hAnsi="Garamond"/>
          <w:sz w:val="22"/>
          <w:szCs w:val="22"/>
        </w:rPr>
        <w:t xml:space="preserve"> az alkalmazható kereskedési formákat csak törvény vagy kormányrendelet szabályozhatja, vagy tilthatja meg. Az állampolgári jogok biztosának</w:t>
      </w:r>
      <w:r w:rsidR="00315E7A" w:rsidRPr="008A1BE7">
        <w:rPr>
          <w:rFonts w:ascii="Garamond" w:hAnsi="Garamond"/>
          <w:sz w:val="22"/>
          <w:szCs w:val="22"/>
        </w:rPr>
        <w:t xml:space="preserve"> az</w:t>
      </w:r>
      <w:r w:rsidRPr="008A1BE7">
        <w:rPr>
          <w:rFonts w:ascii="Garamond" w:hAnsi="Garamond"/>
          <w:sz w:val="22"/>
          <w:szCs w:val="22"/>
        </w:rPr>
        <w:t xml:space="preserve"> </w:t>
      </w:r>
      <w:r w:rsidR="00315E7A" w:rsidRPr="008A1BE7">
        <w:rPr>
          <w:rFonts w:ascii="Garamond" w:hAnsi="Garamond"/>
          <w:sz w:val="22"/>
          <w:szCs w:val="22"/>
        </w:rPr>
        <w:t>AJB-219/2011. számú ügyben készült</w:t>
      </w:r>
      <w:r w:rsidR="00573F5F" w:rsidRPr="008A1BE7">
        <w:rPr>
          <w:rFonts w:ascii="Garamond" w:hAnsi="Garamond"/>
          <w:sz w:val="22"/>
          <w:szCs w:val="22"/>
        </w:rPr>
        <w:t xml:space="preserve"> jelentése szerint a házaló kereskedés önkormányzati korlátozásával kapcsolatosan a kormányhivatalok 36 önkormányzati rendeletet és 3 határozatot találtak törvénysértőnek. Az ombudsman álláspontja szerint a korlátozás látszatát sem kelthetik az önkormányzatok, tehát a település nevét jelző tábla közvetlen közelében kihelyezett „a házaló kereskedelem tilos” felirat kihelyezése – még jogszabályi rendelkezés hiányában is – sérti a jogállamiság elvét és a jogbiztonság követelményét. </w:t>
      </w:r>
      <w:r w:rsidR="0027286A" w:rsidRPr="008A1BE7">
        <w:rPr>
          <w:rFonts w:ascii="Garamond" w:hAnsi="Garamond"/>
          <w:sz w:val="22"/>
          <w:szCs w:val="22"/>
        </w:rPr>
        <w:t xml:space="preserve">Ezen kereskedési forma rendeleti úton történő tiltása esetén a Képviselő-testületnek várhatóan törvényességi felügyeleti eljárás indításával kellene számolnia, azonban az is kijelenthető, hogy a kereskedési forma gyakorlására az árusítónak hatósági engedéllyel kell rendelkeznie. A </w:t>
      </w:r>
      <w:proofErr w:type="spellStart"/>
      <w:r w:rsidR="0027286A" w:rsidRPr="008A1BE7">
        <w:rPr>
          <w:rFonts w:ascii="Garamond" w:hAnsi="Garamond"/>
          <w:sz w:val="22"/>
          <w:szCs w:val="22"/>
        </w:rPr>
        <w:t>Kertv</w:t>
      </w:r>
      <w:proofErr w:type="spellEnd"/>
      <w:r w:rsidR="0027286A" w:rsidRPr="008A1BE7">
        <w:rPr>
          <w:rFonts w:ascii="Garamond" w:hAnsi="Garamond"/>
          <w:sz w:val="22"/>
          <w:szCs w:val="22"/>
        </w:rPr>
        <w:t xml:space="preserve">. </w:t>
      </w:r>
      <w:proofErr w:type="gramStart"/>
      <w:r w:rsidR="0027286A" w:rsidRPr="008A1BE7">
        <w:rPr>
          <w:rFonts w:ascii="Garamond" w:hAnsi="Garamond"/>
          <w:sz w:val="22"/>
          <w:szCs w:val="22"/>
        </w:rPr>
        <w:t>és</w:t>
      </w:r>
      <w:proofErr w:type="gramEnd"/>
      <w:r w:rsidR="0027286A" w:rsidRPr="008A1BE7">
        <w:rPr>
          <w:rFonts w:ascii="Garamond" w:hAnsi="Garamond"/>
          <w:sz w:val="22"/>
          <w:szCs w:val="22"/>
        </w:rPr>
        <w:t xml:space="preserve"> az ágazati jogszabályok szerint a tevékenységet engedélyezés céljából be kell jelenteni az illetékes jegyzőnél, valamint kérni kell a hozzájárulást a közterület rendeltetéselle</w:t>
      </w:r>
      <w:r w:rsidR="00E01FBE" w:rsidRPr="008A1BE7">
        <w:rPr>
          <w:rFonts w:ascii="Garamond" w:hAnsi="Garamond"/>
          <w:sz w:val="22"/>
          <w:szCs w:val="22"/>
        </w:rPr>
        <w:t>nes használatához is. Az eladó</w:t>
      </w:r>
      <w:r w:rsidR="0027286A" w:rsidRPr="008A1BE7">
        <w:rPr>
          <w:rFonts w:ascii="Garamond" w:hAnsi="Garamond"/>
          <w:sz w:val="22"/>
          <w:szCs w:val="22"/>
        </w:rPr>
        <w:t xml:space="preserve"> kereskedés céljából a </w:t>
      </w:r>
      <w:r w:rsidR="00E01FBE" w:rsidRPr="008A1BE7">
        <w:rPr>
          <w:rFonts w:ascii="Garamond" w:hAnsi="Garamond"/>
          <w:sz w:val="22"/>
          <w:szCs w:val="22"/>
        </w:rPr>
        <w:t>vásárlót</w:t>
      </w:r>
      <w:r w:rsidR="0027286A" w:rsidRPr="008A1BE7">
        <w:rPr>
          <w:rFonts w:ascii="Garamond" w:hAnsi="Garamond"/>
          <w:sz w:val="22"/>
          <w:szCs w:val="22"/>
        </w:rPr>
        <w:t xml:space="preserve"> lakásán 09.00.-19.00 óra között keresheti fel, és köteles személyazonosságát, illetve megbízás esetén képviseleti jogosu</w:t>
      </w:r>
      <w:r w:rsidR="0042438C" w:rsidRPr="008A1BE7">
        <w:rPr>
          <w:rFonts w:ascii="Garamond" w:hAnsi="Garamond"/>
          <w:sz w:val="22"/>
          <w:szCs w:val="22"/>
        </w:rPr>
        <w:t>ltságát a vásárlónak igazolni.</w:t>
      </w:r>
      <w:r w:rsidR="00E01FBE" w:rsidRPr="008A1BE7">
        <w:rPr>
          <w:rFonts w:ascii="Garamond" w:hAnsi="Garamond"/>
          <w:sz w:val="22"/>
          <w:szCs w:val="22"/>
        </w:rPr>
        <w:t xml:space="preserve"> A házaló kereskedés előírásainak megsértése miatt a </w:t>
      </w:r>
      <w:proofErr w:type="spellStart"/>
      <w:r w:rsidR="00E01FBE" w:rsidRPr="008A1BE7">
        <w:rPr>
          <w:rFonts w:ascii="Garamond" w:hAnsi="Garamond"/>
          <w:sz w:val="22"/>
          <w:szCs w:val="22"/>
        </w:rPr>
        <w:t>Szabs</w:t>
      </w:r>
      <w:proofErr w:type="spellEnd"/>
      <w:r w:rsidR="00E01FBE" w:rsidRPr="008A1BE7">
        <w:rPr>
          <w:rFonts w:ascii="Garamond" w:hAnsi="Garamond"/>
          <w:sz w:val="22"/>
          <w:szCs w:val="22"/>
        </w:rPr>
        <w:t xml:space="preserve">. </w:t>
      </w:r>
      <w:proofErr w:type="gramStart"/>
      <w:r w:rsidR="00E01FBE" w:rsidRPr="008A1BE7">
        <w:rPr>
          <w:rFonts w:ascii="Garamond" w:hAnsi="Garamond"/>
          <w:sz w:val="22"/>
          <w:szCs w:val="22"/>
        </w:rPr>
        <w:t>tv</w:t>
      </w:r>
      <w:proofErr w:type="gramEnd"/>
      <w:r w:rsidR="00E01FBE" w:rsidRPr="008A1BE7">
        <w:rPr>
          <w:rFonts w:ascii="Garamond" w:hAnsi="Garamond"/>
          <w:sz w:val="22"/>
          <w:szCs w:val="22"/>
        </w:rPr>
        <w:t>. 200/</w:t>
      </w:r>
      <w:proofErr w:type="gramStart"/>
      <w:r w:rsidR="00E01FBE" w:rsidRPr="008A1BE7">
        <w:rPr>
          <w:rFonts w:ascii="Garamond" w:hAnsi="Garamond"/>
          <w:sz w:val="22"/>
          <w:szCs w:val="22"/>
        </w:rPr>
        <w:t>A.</w:t>
      </w:r>
      <w:proofErr w:type="gramEnd"/>
      <w:r w:rsidR="00E01FBE" w:rsidRPr="008A1BE7">
        <w:rPr>
          <w:rFonts w:ascii="Garamond" w:hAnsi="Garamond"/>
          <w:sz w:val="22"/>
          <w:szCs w:val="22"/>
        </w:rPr>
        <w:t xml:space="preserve"> § (1) bekezdése (jogosulatlan közterületi értékesítés), valamint a szolgáltatási tevékenység megkezdésének és folytatásának általános szabályairól szóló 2009. évi LXXVI. törvény (továbbiakban: </w:t>
      </w:r>
      <w:proofErr w:type="spellStart"/>
      <w:r w:rsidR="00E01FBE" w:rsidRPr="008A1BE7">
        <w:rPr>
          <w:rFonts w:ascii="Garamond" w:hAnsi="Garamond"/>
          <w:sz w:val="22"/>
          <w:szCs w:val="22"/>
        </w:rPr>
        <w:t>Szolgtv</w:t>
      </w:r>
      <w:proofErr w:type="spellEnd"/>
      <w:r w:rsidR="00E01FBE" w:rsidRPr="008A1BE7">
        <w:rPr>
          <w:rFonts w:ascii="Garamond" w:hAnsi="Garamond"/>
          <w:sz w:val="22"/>
          <w:szCs w:val="22"/>
        </w:rPr>
        <w:t>.) 25. § (2) bekezdése jelentős összegű bírsággal fenyegeti a jogszerűtlenül értékesítő kereskedőt.</w:t>
      </w:r>
    </w:p>
    <w:p w:rsidR="00315E7A" w:rsidRPr="008A1BE7" w:rsidRDefault="00315E7A" w:rsidP="00A16BD6">
      <w:pPr>
        <w:jc w:val="both"/>
        <w:rPr>
          <w:rFonts w:ascii="Garamond" w:hAnsi="Garamond"/>
          <w:sz w:val="22"/>
          <w:szCs w:val="22"/>
        </w:rPr>
      </w:pPr>
    </w:p>
    <w:p w:rsidR="00315E7A" w:rsidRPr="008A1BE7" w:rsidRDefault="00315E7A" w:rsidP="00A16BD6">
      <w:pPr>
        <w:jc w:val="both"/>
        <w:rPr>
          <w:rFonts w:ascii="Garamond" w:hAnsi="Garamond"/>
          <w:sz w:val="22"/>
          <w:szCs w:val="22"/>
        </w:rPr>
      </w:pPr>
      <w:r w:rsidRPr="008A1BE7">
        <w:rPr>
          <w:rFonts w:ascii="Garamond" w:hAnsi="Garamond"/>
          <w:sz w:val="22"/>
          <w:szCs w:val="22"/>
        </w:rPr>
        <w:t>A fenti okfejtés alapján kijelenthető, hogy a házaló kereskedés tiltásának kimondásával a Képviselő-testület túllépne a helyi jogalkotás keretein, valamint magasabb szintű jogszabályokkal ellentétes normát alkotna.</w:t>
      </w:r>
    </w:p>
    <w:p w:rsidR="00315E7A" w:rsidRPr="008A1BE7" w:rsidRDefault="00315E7A" w:rsidP="00A16BD6">
      <w:pPr>
        <w:jc w:val="both"/>
        <w:rPr>
          <w:rFonts w:ascii="Garamond" w:hAnsi="Garamond"/>
          <w:sz w:val="22"/>
          <w:szCs w:val="22"/>
        </w:rPr>
      </w:pPr>
    </w:p>
    <w:p w:rsidR="00315E7A" w:rsidRPr="008A1BE7" w:rsidRDefault="002A0657" w:rsidP="00A16BD6">
      <w:pPr>
        <w:jc w:val="both"/>
        <w:rPr>
          <w:rFonts w:ascii="Garamond" w:hAnsi="Garamond"/>
          <w:sz w:val="22"/>
          <w:szCs w:val="22"/>
          <w:u w:val="single"/>
        </w:rPr>
      </w:pPr>
      <w:r w:rsidRPr="008A1BE7">
        <w:rPr>
          <w:rFonts w:ascii="Garamond" w:hAnsi="Garamond"/>
          <w:sz w:val="22"/>
          <w:szCs w:val="22"/>
          <w:u w:val="single"/>
        </w:rPr>
        <w:lastRenderedPageBreak/>
        <w:t>K</w:t>
      </w:r>
      <w:r w:rsidR="00315E7A" w:rsidRPr="008A1BE7">
        <w:rPr>
          <w:rFonts w:ascii="Garamond" w:hAnsi="Garamond"/>
          <w:sz w:val="22"/>
          <w:szCs w:val="22"/>
          <w:u w:val="single"/>
        </w:rPr>
        <w:t>erti gyümölcs és egyéb fák részeinek betegség, illetve fertőzés miatti metszéséből származó kerti hulladék elégetése, mint kivétel alkalmazása</w:t>
      </w:r>
    </w:p>
    <w:p w:rsidR="00032E71" w:rsidRPr="008A1BE7" w:rsidRDefault="00032E71" w:rsidP="00A16BD6">
      <w:pPr>
        <w:jc w:val="both"/>
        <w:rPr>
          <w:rFonts w:ascii="Garamond" w:hAnsi="Garamond"/>
          <w:sz w:val="22"/>
          <w:szCs w:val="22"/>
          <w:u w:val="single"/>
        </w:rPr>
      </w:pPr>
    </w:p>
    <w:p w:rsidR="00E01FBE" w:rsidRPr="008A1BE7" w:rsidRDefault="002A0657" w:rsidP="00A16BD6">
      <w:pPr>
        <w:jc w:val="both"/>
        <w:rPr>
          <w:rFonts w:ascii="Garamond" w:hAnsi="Garamond"/>
          <w:sz w:val="22"/>
          <w:szCs w:val="22"/>
        </w:rPr>
      </w:pPr>
      <w:r w:rsidRPr="008A1BE7">
        <w:rPr>
          <w:rFonts w:ascii="Garamond" w:hAnsi="Garamond"/>
          <w:sz w:val="22"/>
          <w:szCs w:val="22"/>
        </w:rPr>
        <w:t xml:space="preserve">A rendelet 10. § (1) bekezdésében lévő tényállásszerű magatartás a levegőtisztaság védelme miatt került </w:t>
      </w:r>
      <w:proofErr w:type="spellStart"/>
      <w:r w:rsidRPr="008A1BE7">
        <w:rPr>
          <w:rFonts w:ascii="Garamond" w:hAnsi="Garamond"/>
          <w:sz w:val="22"/>
          <w:szCs w:val="22"/>
        </w:rPr>
        <w:t>szakcionálásra</w:t>
      </w:r>
      <w:proofErr w:type="spellEnd"/>
      <w:r w:rsidRPr="008A1BE7">
        <w:rPr>
          <w:rFonts w:ascii="Garamond" w:hAnsi="Garamond"/>
          <w:sz w:val="22"/>
          <w:szCs w:val="22"/>
        </w:rPr>
        <w:t xml:space="preserve">. Jelenlegi megfogalmazásában túlzott módon szabályozza </w:t>
      </w:r>
      <w:proofErr w:type="gramStart"/>
      <w:r w:rsidRPr="008A1BE7">
        <w:rPr>
          <w:rFonts w:ascii="Garamond" w:hAnsi="Garamond"/>
          <w:sz w:val="22"/>
          <w:szCs w:val="22"/>
        </w:rPr>
        <w:t>ezen</w:t>
      </w:r>
      <w:proofErr w:type="gramEnd"/>
      <w:r w:rsidRPr="008A1BE7">
        <w:rPr>
          <w:rFonts w:ascii="Garamond" w:hAnsi="Garamond"/>
          <w:sz w:val="22"/>
          <w:szCs w:val="22"/>
        </w:rPr>
        <w:t xml:space="preserve"> magatartási formulát, célszerűnek mutatkozik a szabályozási kényszer szigorán enyhíteni, és lehetővé tenni kivételként</w:t>
      </w:r>
      <w:r w:rsidR="00032E71" w:rsidRPr="008A1BE7">
        <w:rPr>
          <w:rFonts w:ascii="Garamond" w:hAnsi="Garamond"/>
          <w:sz w:val="22"/>
          <w:szCs w:val="22"/>
        </w:rPr>
        <w:t xml:space="preserve"> a </w:t>
      </w:r>
      <w:r w:rsidR="00032E71" w:rsidRPr="008A1BE7">
        <w:rPr>
          <w:rFonts w:ascii="Garamond" w:hAnsi="Garamond"/>
          <w:b/>
          <w:sz w:val="22"/>
          <w:szCs w:val="22"/>
          <w:u w:val="single"/>
        </w:rPr>
        <w:t>növényvédelmi, egészségügyi metszésből</w:t>
      </w:r>
      <w:r w:rsidR="00032E71" w:rsidRPr="008A1BE7">
        <w:rPr>
          <w:rFonts w:ascii="Garamond" w:hAnsi="Garamond"/>
          <w:sz w:val="22"/>
          <w:szCs w:val="22"/>
        </w:rPr>
        <w:t xml:space="preserve"> származó hulladék égetését.</w:t>
      </w:r>
      <w:r w:rsidRPr="008A1BE7">
        <w:rPr>
          <w:rFonts w:ascii="Garamond" w:hAnsi="Garamond"/>
          <w:sz w:val="22"/>
          <w:szCs w:val="22"/>
        </w:rPr>
        <w:t xml:space="preserve">    </w:t>
      </w:r>
      <w:r w:rsidR="00E01FBE" w:rsidRPr="008A1BE7">
        <w:rPr>
          <w:rFonts w:ascii="Garamond" w:hAnsi="Garamond"/>
          <w:sz w:val="22"/>
          <w:szCs w:val="22"/>
        </w:rPr>
        <w:t xml:space="preserve"> </w:t>
      </w:r>
    </w:p>
    <w:p w:rsidR="00E01FBE" w:rsidRPr="008A1BE7" w:rsidRDefault="00E01FBE" w:rsidP="00A16BD6">
      <w:pPr>
        <w:jc w:val="both"/>
        <w:rPr>
          <w:rFonts w:ascii="Garamond" w:hAnsi="Garamond"/>
          <w:sz w:val="22"/>
          <w:szCs w:val="22"/>
        </w:rPr>
      </w:pPr>
    </w:p>
    <w:p w:rsidR="00D15977" w:rsidRPr="008A1BE7" w:rsidRDefault="00032E71" w:rsidP="00A16BD6">
      <w:pPr>
        <w:jc w:val="both"/>
        <w:rPr>
          <w:rFonts w:ascii="Garamond" w:hAnsi="Garamond"/>
          <w:sz w:val="22"/>
          <w:szCs w:val="22"/>
        </w:rPr>
      </w:pPr>
      <w:r w:rsidRPr="008A1BE7">
        <w:rPr>
          <w:rFonts w:ascii="Garamond" w:hAnsi="Garamond"/>
          <w:sz w:val="22"/>
          <w:szCs w:val="22"/>
        </w:rPr>
        <w:t xml:space="preserve">A fentiekből is látszik, hogy a közösségi együttélés szabályainak megalkotása során, kellő gondosság tanúsítása mellett is előfordulhat, - mivel a szabálysértési tényállások többsége ún. </w:t>
      </w:r>
      <w:proofErr w:type="gramStart"/>
      <w:r w:rsidRPr="008A1BE7">
        <w:rPr>
          <w:rFonts w:ascii="Garamond" w:hAnsi="Garamond"/>
          <w:sz w:val="22"/>
          <w:szCs w:val="22"/>
        </w:rPr>
        <w:t>kerettényállások</w:t>
      </w:r>
      <w:proofErr w:type="gramEnd"/>
      <w:r w:rsidRPr="008A1BE7">
        <w:rPr>
          <w:rFonts w:ascii="Garamond" w:hAnsi="Garamond"/>
          <w:sz w:val="22"/>
          <w:szCs w:val="22"/>
        </w:rPr>
        <w:t xml:space="preserve"> – hogy egyes cselekmények túlmutatnak a helyi jogalkotás keretein. A felülvizsgálat során megállapításra került, hogy a jelenleg hatályos rendeletünk tartalmaz, olyan magatartás formulákat, amelyet magasabb szintű jogszabály büntetni rendel. A jogállamiság és a jogbiztonság elveinek érvényesülése miatt </w:t>
      </w:r>
      <w:proofErr w:type="gramStart"/>
      <w:r w:rsidRPr="008A1BE7">
        <w:rPr>
          <w:rFonts w:ascii="Garamond" w:hAnsi="Garamond"/>
          <w:sz w:val="22"/>
          <w:szCs w:val="22"/>
        </w:rPr>
        <w:t>ezen</w:t>
      </w:r>
      <w:proofErr w:type="gramEnd"/>
      <w:r w:rsidRPr="008A1BE7">
        <w:rPr>
          <w:rFonts w:ascii="Garamond" w:hAnsi="Garamond"/>
          <w:sz w:val="22"/>
          <w:szCs w:val="22"/>
        </w:rPr>
        <w:t xml:space="preserve"> rendelkez</w:t>
      </w:r>
      <w:r w:rsidR="008719FE" w:rsidRPr="008A1BE7">
        <w:rPr>
          <w:rFonts w:ascii="Garamond" w:hAnsi="Garamond"/>
          <w:sz w:val="22"/>
          <w:szCs w:val="22"/>
        </w:rPr>
        <w:t>ések hatályon kívül helyezése is szükségessé vált.</w:t>
      </w:r>
    </w:p>
    <w:p w:rsidR="008719FE" w:rsidRPr="008A1BE7" w:rsidRDefault="008719FE" w:rsidP="00A16BD6">
      <w:pPr>
        <w:jc w:val="both"/>
        <w:rPr>
          <w:rFonts w:ascii="Garamond" w:hAnsi="Garamond"/>
          <w:sz w:val="22"/>
          <w:szCs w:val="22"/>
        </w:rPr>
      </w:pPr>
    </w:p>
    <w:p w:rsidR="00220BAC" w:rsidRPr="008A1BE7" w:rsidRDefault="00573F5F" w:rsidP="00A16BD6">
      <w:pPr>
        <w:jc w:val="both"/>
        <w:rPr>
          <w:rFonts w:ascii="Garamond" w:hAnsi="Garamond"/>
          <w:sz w:val="22"/>
          <w:szCs w:val="22"/>
        </w:rPr>
      </w:pPr>
      <w:r w:rsidRPr="008A1BE7">
        <w:rPr>
          <w:rFonts w:ascii="Garamond" w:hAnsi="Garamond"/>
          <w:sz w:val="22"/>
          <w:szCs w:val="22"/>
        </w:rPr>
        <w:t xml:space="preserve">  </w:t>
      </w:r>
      <w:r w:rsidR="00EF7293" w:rsidRPr="008A1BE7">
        <w:rPr>
          <w:rFonts w:ascii="Garamond" w:hAnsi="Garamond"/>
          <w:sz w:val="22"/>
          <w:szCs w:val="22"/>
        </w:rPr>
        <w:t xml:space="preserve">  </w:t>
      </w:r>
    </w:p>
    <w:p w:rsidR="00C21C47" w:rsidRPr="008A1BE7" w:rsidRDefault="00C21C47" w:rsidP="00964CC0">
      <w:pPr>
        <w:jc w:val="both"/>
        <w:rPr>
          <w:rFonts w:ascii="Garamond" w:hAnsi="Garamond"/>
          <w:sz w:val="22"/>
          <w:szCs w:val="22"/>
        </w:rPr>
      </w:pPr>
      <w:r w:rsidRPr="008A1BE7">
        <w:rPr>
          <w:rFonts w:ascii="Garamond" w:hAnsi="Garamond"/>
          <w:sz w:val="22"/>
          <w:szCs w:val="22"/>
        </w:rPr>
        <w:t xml:space="preserve">   </w:t>
      </w:r>
    </w:p>
    <w:p w:rsidR="00964CC0" w:rsidRPr="008A1BE7" w:rsidRDefault="00964CC0" w:rsidP="00964CC0">
      <w:pPr>
        <w:numPr>
          <w:ilvl w:val="0"/>
          <w:numId w:val="1"/>
        </w:numPr>
        <w:autoSpaceDE w:val="0"/>
        <w:autoSpaceDN w:val="0"/>
        <w:adjustRightInd w:val="0"/>
        <w:ind w:left="0" w:firstLine="0"/>
        <w:jc w:val="center"/>
        <w:rPr>
          <w:rFonts w:ascii="Garamond" w:hAnsi="Garamond"/>
          <w:b/>
          <w:bCs/>
          <w:sz w:val="22"/>
          <w:szCs w:val="22"/>
        </w:rPr>
      </w:pPr>
      <w:r w:rsidRPr="008A1BE7">
        <w:rPr>
          <w:rFonts w:ascii="Garamond" w:hAnsi="Garamond"/>
          <w:b/>
          <w:bCs/>
          <w:sz w:val="22"/>
          <w:szCs w:val="22"/>
        </w:rPr>
        <w:t>RÉSZLETES INDOKOLÁS</w:t>
      </w:r>
    </w:p>
    <w:p w:rsidR="003C0261" w:rsidRPr="008A1BE7" w:rsidRDefault="003C0261" w:rsidP="00964CC0">
      <w:pPr>
        <w:autoSpaceDE w:val="0"/>
        <w:autoSpaceDN w:val="0"/>
        <w:adjustRightInd w:val="0"/>
        <w:jc w:val="center"/>
        <w:rPr>
          <w:rFonts w:ascii="Garamond" w:hAnsi="Garamond"/>
          <w:b/>
          <w:bCs/>
          <w:sz w:val="22"/>
          <w:szCs w:val="22"/>
        </w:rPr>
      </w:pPr>
    </w:p>
    <w:p w:rsidR="00964CC0" w:rsidRPr="008A1BE7" w:rsidRDefault="003C0261" w:rsidP="00964CC0">
      <w:pPr>
        <w:autoSpaceDE w:val="0"/>
        <w:autoSpaceDN w:val="0"/>
        <w:adjustRightInd w:val="0"/>
        <w:jc w:val="center"/>
        <w:rPr>
          <w:rFonts w:ascii="Garamond" w:hAnsi="Garamond"/>
          <w:b/>
          <w:bCs/>
          <w:sz w:val="22"/>
          <w:szCs w:val="22"/>
        </w:rPr>
      </w:pPr>
      <w:r w:rsidRPr="008A1BE7">
        <w:rPr>
          <w:rFonts w:ascii="Garamond" w:hAnsi="Garamond"/>
          <w:b/>
          <w:bCs/>
          <w:sz w:val="22"/>
          <w:szCs w:val="22"/>
        </w:rPr>
        <w:t>1.§</w:t>
      </w:r>
      <w:r w:rsidR="008A1BE7" w:rsidRPr="008A1BE7">
        <w:rPr>
          <w:rFonts w:ascii="Garamond" w:hAnsi="Garamond"/>
          <w:b/>
          <w:bCs/>
          <w:sz w:val="22"/>
          <w:szCs w:val="22"/>
        </w:rPr>
        <w:t>- hoz</w:t>
      </w:r>
    </w:p>
    <w:p w:rsidR="003C0261" w:rsidRPr="008A1BE7" w:rsidRDefault="00DF5881" w:rsidP="00964CC0">
      <w:pPr>
        <w:autoSpaceDE w:val="0"/>
        <w:autoSpaceDN w:val="0"/>
        <w:adjustRightInd w:val="0"/>
        <w:jc w:val="both"/>
        <w:rPr>
          <w:rFonts w:ascii="Garamond" w:hAnsi="Garamond"/>
          <w:bCs/>
          <w:sz w:val="22"/>
          <w:szCs w:val="22"/>
        </w:rPr>
      </w:pPr>
      <w:r w:rsidRPr="008A1BE7">
        <w:rPr>
          <w:rFonts w:ascii="Garamond" w:hAnsi="Garamond"/>
          <w:bCs/>
          <w:sz w:val="22"/>
          <w:szCs w:val="22"/>
        </w:rPr>
        <w:t>A rendelet</w:t>
      </w:r>
      <w:r w:rsidR="00964CC0" w:rsidRPr="008A1BE7">
        <w:rPr>
          <w:rFonts w:ascii="Garamond" w:hAnsi="Garamond"/>
          <w:bCs/>
          <w:sz w:val="22"/>
          <w:szCs w:val="22"/>
        </w:rPr>
        <w:t xml:space="preserve"> 1. §</w:t>
      </w:r>
      <w:r w:rsidR="00774D49" w:rsidRPr="008A1BE7">
        <w:rPr>
          <w:rFonts w:ascii="Garamond" w:hAnsi="Garamond"/>
          <w:bCs/>
          <w:sz w:val="22"/>
          <w:szCs w:val="22"/>
        </w:rPr>
        <w:t>-</w:t>
      </w:r>
      <w:proofErr w:type="gramStart"/>
      <w:r w:rsidR="00774D49" w:rsidRPr="008A1BE7">
        <w:rPr>
          <w:rFonts w:ascii="Garamond" w:hAnsi="Garamond"/>
          <w:bCs/>
          <w:sz w:val="22"/>
          <w:szCs w:val="22"/>
        </w:rPr>
        <w:t>a</w:t>
      </w:r>
      <w:proofErr w:type="gramEnd"/>
      <w:r w:rsidRPr="008A1BE7">
        <w:rPr>
          <w:rFonts w:ascii="Garamond" w:hAnsi="Garamond"/>
          <w:bCs/>
          <w:sz w:val="22"/>
          <w:szCs w:val="22"/>
        </w:rPr>
        <w:t xml:space="preserve"> a tényállási magatartási formulák kiterjesztéséről, valamint a magasabb szintű jogszabályban </w:t>
      </w:r>
      <w:r w:rsidR="005E24DD" w:rsidRPr="008A1BE7">
        <w:rPr>
          <w:rFonts w:ascii="Garamond" w:hAnsi="Garamond"/>
          <w:bCs/>
          <w:sz w:val="22"/>
          <w:szCs w:val="22"/>
        </w:rPr>
        <w:t>szabályozott élethelyzetek</w:t>
      </w:r>
      <w:r w:rsidRPr="008A1BE7">
        <w:rPr>
          <w:rFonts w:ascii="Garamond" w:hAnsi="Garamond"/>
          <w:bCs/>
          <w:sz w:val="22"/>
          <w:szCs w:val="22"/>
        </w:rPr>
        <w:t xml:space="preserve"> önkormányzat</w:t>
      </w:r>
      <w:r w:rsidR="005E24DD" w:rsidRPr="008A1BE7">
        <w:rPr>
          <w:rFonts w:ascii="Garamond" w:hAnsi="Garamond"/>
          <w:bCs/>
          <w:sz w:val="22"/>
          <w:szCs w:val="22"/>
        </w:rPr>
        <w:t>i</w:t>
      </w:r>
      <w:r w:rsidRPr="008A1BE7">
        <w:rPr>
          <w:rFonts w:ascii="Garamond" w:hAnsi="Garamond"/>
          <w:bCs/>
          <w:sz w:val="22"/>
          <w:szCs w:val="22"/>
        </w:rPr>
        <w:t xml:space="preserve"> rendeleti úton történő jogalkotói hatáskör túllépésének megszüntetését szolgálja. Az (1) bekezdés rendelkezéseibe beépítésre került a pótkocsi, valamint vontatmány szövegrész. </w:t>
      </w:r>
      <w:r w:rsidR="00916B85" w:rsidRPr="008A1BE7">
        <w:rPr>
          <w:rFonts w:ascii="Garamond" w:hAnsi="Garamond"/>
          <w:bCs/>
          <w:sz w:val="22"/>
          <w:szCs w:val="22"/>
        </w:rPr>
        <w:t xml:space="preserve">A (2) bekezdésben a játszóteret kivételként szükséges megemlíteni, mivel az eb játszótérre történő bevitele a </w:t>
      </w:r>
      <w:proofErr w:type="spellStart"/>
      <w:r w:rsidR="00916B85" w:rsidRPr="008A1BE7">
        <w:rPr>
          <w:rFonts w:ascii="Garamond" w:hAnsi="Garamond"/>
          <w:bCs/>
          <w:sz w:val="22"/>
          <w:szCs w:val="22"/>
        </w:rPr>
        <w:t>Szabs</w:t>
      </w:r>
      <w:proofErr w:type="spellEnd"/>
      <w:r w:rsidR="00916B85" w:rsidRPr="008A1BE7">
        <w:rPr>
          <w:rFonts w:ascii="Garamond" w:hAnsi="Garamond"/>
          <w:bCs/>
          <w:sz w:val="22"/>
          <w:szCs w:val="22"/>
        </w:rPr>
        <w:t xml:space="preserve">. </w:t>
      </w:r>
      <w:proofErr w:type="gramStart"/>
      <w:r w:rsidR="00916B85" w:rsidRPr="008A1BE7">
        <w:rPr>
          <w:rFonts w:ascii="Garamond" w:hAnsi="Garamond"/>
          <w:bCs/>
          <w:sz w:val="22"/>
          <w:szCs w:val="22"/>
        </w:rPr>
        <w:t>tv</w:t>
      </w:r>
      <w:proofErr w:type="gramEnd"/>
      <w:r w:rsidR="00916B85" w:rsidRPr="008A1BE7">
        <w:rPr>
          <w:rFonts w:ascii="Garamond" w:hAnsi="Garamond"/>
          <w:bCs/>
          <w:sz w:val="22"/>
          <w:szCs w:val="22"/>
        </w:rPr>
        <w:t>. 193. § (1) bekezdés d) pontjában szabályozott veszélyeztetés kutyával szabálysé</w:t>
      </w:r>
      <w:r w:rsidR="00242C7F" w:rsidRPr="008A1BE7">
        <w:rPr>
          <w:rFonts w:ascii="Garamond" w:hAnsi="Garamond"/>
          <w:bCs/>
          <w:sz w:val="22"/>
          <w:szCs w:val="22"/>
        </w:rPr>
        <w:t>rtés törvényi tényállása valósít</w:t>
      </w:r>
      <w:r w:rsidR="00916B85" w:rsidRPr="008A1BE7">
        <w:rPr>
          <w:rFonts w:ascii="Garamond" w:hAnsi="Garamond"/>
          <w:bCs/>
          <w:sz w:val="22"/>
          <w:szCs w:val="22"/>
        </w:rPr>
        <w:t xml:space="preserve"> meg. A (3) bekezdésben lévő rendelkezés újrafogalmazására azért volt szükség, mert a régi normaszöveg szerint</w:t>
      </w:r>
      <w:r w:rsidR="0069236D" w:rsidRPr="008A1BE7">
        <w:rPr>
          <w:rFonts w:ascii="Garamond" w:hAnsi="Garamond"/>
          <w:bCs/>
          <w:sz w:val="22"/>
          <w:szCs w:val="22"/>
        </w:rPr>
        <w:t>i cselekmény</w:t>
      </w:r>
      <w:r w:rsidR="00916B85" w:rsidRPr="008A1BE7">
        <w:rPr>
          <w:rFonts w:ascii="Garamond" w:hAnsi="Garamond"/>
          <w:bCs/>
          <w:sz w:val="22"/>
          <w:szCs w:val="22"/>
        </w:rPr>
        <w:t xml:space="preserve"> a </w:t>
      </w:r>
      <w:proofErr w:type="spellStart"/>
      <w:r w:rsidR="00916B85" w:rsidRPr="008A1BE7">
        <w:rPr>
          <w:rFonts w:ascii="Garamond" w:hAnsi="Garamond"/>
          <w:bCs/>
          <w:sz w:val="22"/>
          <w:szCs w:val="22"/>
        </w:rPr>
        <w:t>Szabs</w:t>
      </w:r>
      <w:proofErr w:type="spellEnd"/>
      <w:r w:rsidR="00916B85" w:rsidRPr="008A1BE7">
        <w:rPr>
          <w:rFonts w:ascii="Garamond" w:hAnsi="Garamond"/>
          <w:bCs/>
          <w:sz w:val="22"/>
          <w:szCs w:val="22"/>
        </w:rPr>
        <w:t xml:space="preserve">. </w:t>
      </w:r>
      <w:proofErr w:type="gramStart"/>
      <w:r w:rsidR="00916B85" w:rsidRPr="008A1BE7">
        <w:rPr>
          <w:rFonts w:ascii="Garamond" w:hAnsi="Garamond"/>
          <w:bCs/>
          <w:sz w:val="22"/>
          <w:szCs w:val="22"/>
        </w:rPr>
        <w:t>tv</w:t>
      </w:r>
      <w:proofErr w:type="gramEnd"/>
      <w:r w:rsidR="00916B85" w:rsidRPr="008A1BE7">
        <w:rPr>
          <w:rFonts w:ascii="Garamond" w:hAnsi="Garamond"/>
          <w:bCs/>
          <w:sz w:val="22"/>
          <w:szCs w:val="22"/>
        </w:rPr>
        <w:t>. 177. § (1) bekezdés b, pontja szerinti tulajdon elleni szabálysértés (rong</w:t>
      </w:r>
      <w:r w:rsidR="00E839C1" w:rsidRPr="008A1BE7">
        <w:rPr>
          <w:rFonts w:ascii="Garamond" w:hAnsi="Garamond"/>
          <w:bCs/>
          <w:sz w:val="22"/>
          <w:szCs w:val="22"/>
        </w:rPr>
        <w:t>álás) megállapítására alkalmas,</w:t>
      </w:r>
      <w:r w:rsidR="00916B85" w:rsidRPr="008A1BE7">
        <w:rPr>
          <w:rFonts w:ascii="Garamond" w:hAnsi="Garamond"/>
          <w:bCs/>
          <w:sz w:val="22"/>
          <w:szCs w:val="22"/>
        </w:rPr>
        <w:t xml:space="preserve"> büntet</w:t>
      </w:r>
      <w:r w:rsidR="00E839C1" w:rsidRPr="008A1BE7">
        <w:rPr>
          <w:rFonts w:ascii="Garamond" w:hAnsi="Garamond"/>
          <w:bCs/>
          <w:sz w:val="22"/>
          <w:szCs w:val="22"/>
        </w:rPr>
        <w:t>n</w:t>
      </w:r>
      <w:r w:rsidR="00916B85" w:rsidRPr="008A1BE7">
        <w:rPr>
          <w:rFonts w:ascii="Garamond" w:hAnsi="Garamond"/>
          <w:bCs/>
          <w:sz w:val="22"/>
          <w:szCs w:val="22"/>
        </w:rPr>
        <w:t>i rendelt cselekmény. A (4) bekezdésben rögzített víz- és talajvédelemmel kapcsolatos rendelkezések újraszabályozására szintén a szabálysértési jogszabályi rendelkezésekkel való összeütközés miatt volt szükség. (</w:t>
      </w:r>
      <w:proofErr w:type="spellStart"/>
      <w:r w:rsidR="00916B85" w:rsidRPr="008A1BE7">
        <w:rPr>
          <w:rFonts w:ascii="Garamond" w:hAnsi="Garamond"/>
          <w:bCs/>
          <w:sz w:val="22"/>
          <w:szCs w:val="22"/>
        </w:rPr>
        <w:t>Szabs</w:t>
      </w:r>
      <w:proofErr w:type="spellEnd"/>
      <w:r w:rsidR="00916B85" w:rsidRPr="008A1BE7">
        <w:rPr>
          <w:rFonts w:ascii="Garamond" w:hAnsi="Garamond"/>
          <w:bCs/>
          <w:sz w:val="22"/>
          <w:szCs w:val="22"/>
        </w:rPr>
        <w:t xml:space="preserve">. </w:t>
      </w:r>
      <w:proofErr w:type="gramStart"/>
      <w:r w:rsidR="00916B85" w:rsidRPr="008A1BE7">
        <w:rPr>
          <w:rFonts w:ascii="Garamond" w:hAnsi="Garamond"/>
          <w:bCs/>
          <w:sz w:val="22"/>
          <w:szCs w:val="22"/>
        </w:rPr>
        <w:t>tv</w:t>
      </w:r>
      <w:proofErr w:type="gramEnd"/>
      <w:r w:rsidR="00916B85" w:rsidRPr="008A1BE7">
        <w:rPr>
          <w:rFonts w:ascii="Garamond" w:hAnsi="Garamond"/>
          <w:bCs/>
          <w:sz w:val="22"/>
          <w:szCs w:val="22"/>
        </w:rPr>
        <w:t xml:space="preserve">. 245.§ ). </w:t>
      </w:r>
    </w:p>
    <w:p w:rsidR="003C0261" w:rsidRPr="008A1BE7" w:rsidRDefault="003C0261" w:rsidP="00964CC0">
      <w:pPr>
        <w:autoSpaceDE w:val="0"/>
        <w:autoSpaceDN w:val="0"/>
        <w:adjustRightInd w:val="0"/>
        <w:jc w:val="both"/>
        <w:rPr>
          <w:rFonts w:ascii="Garamond" w:hAnsi="Garamond"/>
          <w:bCs/>
          <w:sz w:val="22"/>
          <w:szCs w:val="22"/>
        </w:rPr>
      </w:pPr>
    </w:p>
    <w:p w:rsidR="003C0261" w:rsidRPr="008A1BE7" w:rsidRDefault="003C0261" w:rsidP="003C0261">
      <w:pPr>
        <w:autoSpaceDE w:val="0"/>
        <w:autoSpaceDN w:val="0"/>
        <w:adjustRightInd w:val="0"/>
        <w:jc w:val="center"/>
        <w:rPr>
          <w:rFonts w:ascii="Garamond" w:hAnsi="Garamond"/>
          <w:b/>
          <w:bCs/>
          <w:sz w:val="22"/>
          <w:szCs w:val="22"/>
        </w:rPr>
      </w:pPr>
      <w:r w:rsidRPr="008A1BE7">
        <w:rPr>
          <w:rFonts w:ascii="Garamond" w:hAnsi="Garamond"/>
          <w:b/>
          <w:bCs/>
          <w:sz w:val="22"/>
          <w:szCs w:val="22"/>
        </w:rPr>
        <w:t>2.§</w:t>
      </w:r>
      <w:proofErr w:type="spellStart"/>
      <w:r w:rsidR="008A1BE7" w:rsidRPr="008A1BE7">
        <w:rPr>
          <w:rFonts w:ascii="Garamond" w:hAnsi="Garamond"/>
          <w:b/>
          <w:bCs/>
          <w:sz w:val="22"/>
          <w:szCs w:val="22"/>
        </w:rPr>
        <w:t>-hoz</w:t>
      </w:r>
      <w:proofErr w:type="spellEnd"/>
    </w:p>
    <w:p w:rsidR="003C0261" w:rsidRPr="008A1BE7" w:rsidRDefault="003C0261" w:rsidP="00964CC0">
      <w:pPr>
        <w:autoSpaceDE w:val="0"/>
        <w:autoSpaceDN w:val="0"/>
        <w:adjustRightInd w:val="0"/>
        <w:jc w:val="both"/>
        <w:rPr>
          <w:rFonts w:ascii="Garamond" w:hAnsi="Garamond"/>
          <w:bCs/>
          <w:sz w:val="22"/>
          <w:szCs w:val="22"/>
        </w:rPr>
      </w:pPr>
      <w:r w:rsidRPr="008A1BE7">
        <w:rPr>
          <w:rFonts w:ascii="Garamond" w:hAnsi="Garamond"/>
          <w:bCs/>
          <w:sz w:val="22"/>
          <w:szCs w:val="22"/>
        </w:rPr>
        <w:t xml:space="preserve">A rendelet 2. §-ban a szövegrész módosítására azért volt szükség, mert a közterület szennyezése esetén, minden esetben a </w:t>
      </w:r>
      <w:proofErr w:type="spellStart"/>
      <w:r w:rsidRPr="008A1BE7">
        <w:rPr>
          <w:rFonts w:ascii="Garamond" w:hAnsi="Garamond"/>
          <w:bCs/>
          <w:sz w:val="22"/>
          <w:szCs w:val="22"/>
        </w:rPr>
        <w:t>Szabs</w:t>
      </w:r>
      <w:proofErr w:type="spellEnd"/>
      <w:r w:rsidRPr="008A1BE7">
        <w:rPr>
          <w:rFonts w:ascii="Garamond" w:hAnsi="Garamond"/>
          <w:bCs/>
          <w:sz w:val="22"/>
          <w:szCs w:val="22"/>
        </w:rPr>
        <w:t xml:space="preserve">. </w:t>
      </w:r>
      <w:proofErr w:type="gramStart"/>
      <w:r w:rsidRPr="008A1BE7">
        <w:rPr>
          <w:rFonts w:ascii="Garamond" w:hAnsi="Garamond"/>
          <w:bCs/>
          <w:sz w:val="22"/>
          <w:szCs w:val="22"/>
        </w:rPr>
        <w:t>tv</w:t>
      </w:r>
      <w:proofErr w:type="gramEnd"/>
      <w:r w:rsidRPr="008A1BE7">
        <w:rPr>
          <w:rFonts w:ascii="Garamond" w:hAnsi="Garamond"/>
          <w:bCs/>
          <w:sz w:val="22"/>
          <w:szCs w:val="22"/>
        </w:rPr>
        <w:t xml:space="preserve">. 196. § (1) bekezdés </w:t>
      </w:r>
      <w:proofErr w:type="gramStart"/>
      <w:r w:rsidRPr="008A1BE7">
        <w:rPr>
          <w:rFonts w:ascii="Garamond" w:hAnsi="Garamond"/>
          <w:bCs/>
          <w:sz w:val="22"/>
          <w:szCs w:val="22"/>
        </w:rPr>
        <w:t>a</w:t>
      </w:r>
      <w:proofErr w:type="gramEnd"/>
      <w:r w:rsidRPr="008A1BE7">
        <w:rPr>
          <w:rFonts w:ascii="Garamond" w:hAnsi="Garamond"/>
          <w:bCs/>
          <w:sz w:val="22"/>
          <w:szCs w:val="22"/>
        </w:rPr>
        <w:t>, pontja szerinti szabálysértés valósul meg, így ezen élethelyzet magasabb szintű jogszabályban szabályozásra került, azonban a magánterület védelmét magasabb szintű jogszabály nem rendezi és ez képezheti tárgyát a helyi jogalkotásnak.</w:t>
      </w:r>
    </w:p>
    <w:p w:rsidR="003C0261" w:rsidRPr="008A1BE7" w:rsidRDefault="003C0261" w:rsidP="00964CC0">
      <w:pPr>
        <w:autoSpaceDE w:val="0"/>
        <w:autoSpaceDN w:val="0"/>
        <w:adjustRightInd w:val="0"/>
        <w:jc w:val="both"/>
        <w:rPr>
          <w:rFonts w:ascii="Garamond" w:hAnsi="Garamond"/>
          <w:bCs/>
          <w:sz w:val="22"/>
          <w:szCs w:val="22"/>
        </w:rPr>
      </w:pPr>
    </w:p>
    <w:p w:rsidR="003C0261" w:rsidRPr="008A1BE7" w:rsidRDefault="008A1BE7" w:rsidP="003C0261">
      <w:pPr>
        <w:autoSpaceDE w:val="0"/>
        <w:autoSpaceDN w:val="0"/>
        <w:adjustRightInd w:val="0"/>
        <w:jc w:val="center"/>
        <w:rPr>
          <w:rFonts w:ascii="Garamond" w:hAnsi="Garamond"/>
          <w:b/>
          <w:bCs/>
          <w:sz w:val="22"/>
          <w:szCs w:val="22"/>
        </w:rPr>
      </w:pPr>
      <w:r w:rsidRPr="008A1BE7">
        <w:rPr>
          <w:rFonts w:ascii="Garamond" w:hAnsi="Garamond"/>
          <w:b/>
          <w:bCs/>
          <w:sz w:val="22"/>
          <w:szCs w:val="22"/>
        </w:rPr>
        <w:t>3. §</w:t>
      </w:r>
      <w:proofErr w:type="spellStart"/>
      <w:r w:rsidRPr="008A1BE7">
        <w:rPr>
          <w:rFonts w:ascii="Garamond" w:hAnsi="Garamond"/>
          <w:b/>
          <w:bCs/>
          <w:sz w:val="22"/>
          <w:szCs w:val="22"/>
        </w:rPr>
        <w:t>-hoz</w:t>
      </w:r>
      <w:proofErr w:type="spellEnd"/>
    </w:p>
    <w:p w:rsidR="003C0261" w:rsidRPr="008A1BE7" w:rsidRDefault="003C0261" w:rsidP="003C0261">
      <w:pPr>
        <w:autoSpaceDE w:val="0"/>
        <w:autoSpaceDN w:val="0"/>
        <w:adjustRightInd w:val="0"/>
        <w:jc w:val="both"/>
        <w:rPr>
          <w:rFonts w:ascii="Garamond" w:hAnsi="Garamond"/>
          <w:bCs/>
          <w:sz w:val="22"/>
          <w:szCs w:val="22"/>
        </w:rPr>
      </w:pPr>
      <w:r w:rsidRPr="008A1BE7">
        <w:rPr>
          <w:rFonts w:ascii="Garamond" w:hAnsi="Garamond"/>
          <w:bCs/>
          <w:sz w:val="22"/>
          <w:szCs w:val="22"/>
        </w:rPr>
        <w:t>A jogszabályhely hatályvesztés okán egy bekezdésre történő redukálása miatt vált szükségessé új kiegészítésként. Kivételt szabályozó lehetőséget épít bele a normaszövegbe a levegőtisztaság védelemmel kapcsolatos egyes rendelkezések kapcsán.</w:t>
      </w:r>
    </w:p>
    <w:p w:rsidR="003C0261" w:rsidRPr="008A1BE7" w:rsidRDefault="003C0261" w:rsidP="003C0261">
      <w:pPr>
        <w:autoSpaceDE w:val="0"/>
        <w:autoSpaceDN w:val="0"/>
        <w:adjustRightInd w:val="0"/>
        <w:jc w:val="both"/>
        <w:rPr>
          <w:rFonts w:ascii="Garamond" w:hAnsi="Garamond"/>
          <w:bCs/>
          <w:sz w:val="22"/>
          <w:szCs w:val="22"/>
        </w:rPr>
      </w:pPr>
    </w:p>
    <w:p w:rsidR="003C0261" w:rsidRPr="008A1BE7" w:rsidRDefault="003C0261" w:rsidP="003C0261">
      <w:pPr>
        <w:autoSpaceDE w:val="0"/>
        <w:autoSpaceDN w:val="0"/>
        <w:adjustRightInd w:val="0"/>
        <w:jc w:val="center"/>
        <w:rPr>
          <w:rFonts w:ascii="Garamond" w:hAnsi="Garamond"/>
          <w:b/>
          <w:bCs/>
          <w:sz w:val="22"/>
          <w:szCs w:val="22"/>
        </w:rPr>
      </w:pPr>
      <w:r w:rsidRPr="008A1BE7">
        <w:rPr>
          <w:rFonts w:ascii="Garamond" w:hAnsi="Garamond"/>
          <w:b/>
          <w:bCs/>
          <w:sz w:val="22"/>
          <w:szCs w:val="22"/>
        </w:rPr>
        <w:t>4. §</w:t>
      </w:r>
      <w:proofErr w:type="spellStart"/>
      <w:r w:rsidR="008A1BE7" w:rsidRPr="008A1BE7">
        <w:rPr>
          <w:rFonts w:ascii="Garamond" w:hAnsi="Garamond"/>
          <w:b/>
          <w:bCs/>
          <w:sz w:val="22"/>
          <w:szCs w:val="22"/>
        </w:rPr>
        <w:t>-hoz</w:t>
      </w:r>
      <w:proofErr w:type="spellEnd"/>
    </w:p>
    <w:p w:rsidR="009F530D" w:rsidRPr="008A1BE7" w:rsidRDefault="003C0261" w:rsidP="003C0261">
      <w:pPr>
        <w:autoSpaceDE w:val="0"/>
        <w:autoSpaceDN w:val="0"/>
        <w:adjustRightInd w:val="0"/>
        <w:jc w:val="both"/>
        <w:rPr>
          <w:rFonts w:ascii="Garamond" w:hAnsi="Garamond"/>
          <w:bCs/>
          <w:sz w:val="22"/>
          <w:szCs w:val="22"/>
        </w:rPr>
      </w:pPr>
      <w:r w:rsidRPr="008A1BE7">
        <w:rPr>
          <w:rFonts w:ascii="Garamond" w:hAnsi="Garamond"/>
          <w:bCs/>
          <w:sz w:val="22"/>
          <w:szCs w:val="22"/>
        </w:rPr>
        <w:t>Hatá</w:t>
      </w:r>
      <w:r w:rsidR="007A7CDF">
        <w:rPr>
          <w:rFonts w:ascii="Garamond" w:hAnsi="Garamond"/>
          <w:bCs/>
          <w:sz w:val="22"/>
          <w:szCs w:val="22"/>
        </w:rPr>
        <w:t>lyát vesztő rendelkezések. Az 1.</w:t>
      </w:r>
      <w:r w:rsidRPr="008A1BE7">
        <w:rPr>
          <w:rFonts w:ascii="Garamond" w:hAnsi="Garamond"/>
          <w:bCs/>
          <w:sz w:val="22"/>
          <w:szCs w:val="22"/>
        </w:rPr>
        <w:t xml:space="preserve"> pont esetében a cselekmény a </w:t>
      </w:r>
      <w:proofErr w:type="spellStart"/>
      <w:r w:rsidRPr="008A1BE7">
        <w:rPr>
          <w:rFonts w:ascii="Garamond" w:hAnsi="Garamond"/>
          <w:bCs/>
          <w:sz w:val="22"/>
          <w:szCs w:val="22"/>
        </w:rPr>
        <w:t>Szabs</w:t>
      </w:r>
      <w:proofErr w:type="spellEnd"/>
      <w:r w:rsidRPr="008A1BE7">
        <w:rPr>
          <w:rFonts w:ascii="Garamond" w:hAnsi="Garamond"/>
          <w:bCs/>
          <w:sz w:val="22"/>
          <w:szCs w:val="22"/>
        </w:rPr>
        <w:t xml:space="preserve">. </w:t>
      </w:r>
      <w:proofErr w:type="gramStart"/>
      <w:r w:rsidRPr="008A1BE7">
        <w:rPr>
          <w:rFonts w:ascii="Garamond" w:hAnsi="Garamond"/>
          <w:bCs/>
          <w:sz w:val="22"/>
          <w:szCs w:val="22"/>
        </w:rPr>
        <w:t>tv</w:t>
      </w:r>
      <w:proofErr w:type="gramEnd"/>
      <w:r w:rsidRPr="008A1BE7">
        <w:rPr>
          <w:rFonts w:ascii="Garamond" w:hAnsi="Garamond"/>
          <w:bCs/>
          <w:sz w:val="22"/>
          <w:szCs w:val="22"/>
        </w:rPr>
        <w:t>. 196. § (1) bekezdés szerinti köztisztasági</w:t>
      </w:r>
      <w:r w:rsidR="007A7CDF">
        <w:rPr>
          <w:rFonts w:ascii="Garamond" w:hAnsi="Garamond"/>
          <w:bCs/>
          <w:sz w:val="22"/>
          <w:szCs w:val="22"/>
        </w:rPr>
        <w:t>, a 3.</w:t>
      </w:r>
      <w:r w:rsidRPr="008A1BE7">
        <w:rPr>
          <w:rFonts w:ascii="Garamond" w:hAnsi="Garamond"/>
          <w:bCs/>
          <w:sz w:val="22"/>
          <w:szCs w:val="22"/>
        </w:rPr>
        <w:t xml:space="preserve"> pont esetében</w:t>
      </w:r>
      <w:r w:rsidR="009F530D" w:rsidRPr="008A1BE7">
        <w:rPr>
          <w:rFonts w:ascii="Garamond" w:hAnsi="Garamond"/>
          <w:bCs/>
          <w:sz w:val="22"/>
          <w:szCs w:val="22"/>
        </w:rPr>
        <w:t xml:space="preserve"> a </w:t>
      </w:r>
      <w:proofErr w:type="spellStart"/>
      <w:r w:rsidR="009F530D" w:rsidRPr="008A1BE7">
        <w:rPr>
          <w:rFonts w:ascii="Garamond" w:hAnsi="Garamond"/>
          <w:bCs/>
          <w:sz w:val="22"/>
          <w:szCs w:val="22"/>
        </w:rPr>
        <w:t>Szabs</w:t>
      </w:r>
      <w:proofErr w:type="spellEnd"/>
      <w:r w:rsidR="009F530D" w:rsidRPr="008A1BE7">
        <w:rPr>
          <w:rFonts w:ascii="Garamond" w:hAnsi="Garamond"/>
          <w:bCs/>
          <w:sz w:val="22"/>
          <w:szCs w:val="22"/>
        </w:rPr>
        <w:t xml:space="preserve">. </w:t>
      </w:r>
      <w:proofErr w:type="gramStart"/>
      <w:r w:rsidR="009F530D" w:rsidRPr="008A1BE7">
        <w:rPr>
          <w:rFonts w:ascii="Garamond" w:hAnsi="Garamond"/>
          <w:bCs/>
          <w:sz w:val="22"/>
          <w:szCs w:val="22"/>
        </w:rPr>
        <w:t>tv</w:t>
      </w:r>
      <w:proofErr w:type="gramEnd"/>
      <w:r w:rsidR="009F530D" w:rsidRPr="008A1BE7">
        <w:rPr>
          <w:rFonts w:ascii="Garamond" w:hAnsi="Garamond"/>
          <w:bCs/>
          <w:sz w:val="22"/>
          <w:szCs w:val="22"/>
        </w:rPr>
        <w:t>. 245</w:t>
      </w:r>
      <w:r w:rsidR="007A7CDF">
        <w:rPr>
          <w:rFonts w:ascii="Garamond" w:hAnsi="Garamond"/>
          <w:bCs/>
          <w:sz w:val="22"/>
          <w:szCs w:val="22"/>
        </w:rPr>
        <w:t>. § szerinti vízszennyezés, a 4.</w:t>
      </w:r>
      <w:r w:rsidR="009F530D" w:rsidRPr="008A1BE7">
        <w:rPr>
          <w:rFonts w:ascii="Garamond" w:hAnsi="Garamond"/>
          <w:bCs/>
          <w:sz w:val="22"/>
          <w:szCs w:val="22"/>
        </w:rPr>
        <w:t xml:space="preserve"> pont esetében a </w:t>
      </w:r>
      <w:proofErr w:type="spellStart"/>
      <w:r w:rsidR="009F530D" w:rsidRPr="008A1BE7">
        <w:rPr>
          <w:rFonts w:ascii="Garamond" w:hAnsi="Garamond"/>
          <w:bCs/>
          <w:sz w:val="22"/>
          <w:szCs w:val="22"/>
        </w:rPr>
        <w:t>Szabs</w:t>
      </w:r>
      <w:proofErr w:type="spellEnd"/>
      <w:r w:rsidR="009F530D" w:rsidRPr="008A1BE7">
        <w:rPr>
          <w:rFonts w:ascii="Garamond" w:hAnsi="Garamond"/>
          <w:bCs/>
          <w:sz w:val="22"/>
          <w:szCs w:val="22"/>
        </w:rPr>
        <w:t xml:space="preserve">. </w:t>
      </w:r>
      <w:proofErr w:type="gramStart"/>
      <w:r w:rsidR="009F530D" w:rsidRPr="008A1BE7">
        <w:rPr>
          <w:rFonts w:ascii="Garamond" w:hAnsi="Garamond"/>
          <w:bCs/>
          <w:sz w:val="22"/>
          <w:szCs w:val="22"/>
        </w:rPr>
        <w:t>tv</w:t>
      </w:r>
      <w:proofErr w:type="gramEnd"/>
      <w:r w:rsidR="009F530D" w:rsidRPr="008A1BE7">
        <w:rPr>
          <w:rFonts w:ascii="Garamond" w:hAnsi="Garamond"/>
          <w:bCs/>
          <w:sz w:val="22"/>
          <w:szCs w:val="22"/>
        </w:rPr>
        <w:t>. 187. § szerinti termé</w:t>
      </w:r>
      <w:r w:rsidR="007A7CDF">
        <w:rPr>
          <w:rFonts w:ascii="Garamond" w:hAnsi="Garamond"/>
          <w:bCs/>
          <w:sz w:val="22"/>
          <w:szCs w:val="22"/>
        </w:rPr>
        <w:t>szetvédelmi, az 5.</w:t>
      </w:r>
      <w:r w:rsidR="009F530D" w:rsidRPr="008A1BE7">
        <w:rPr>
          <w:rFonts w:ascii="Garamond" w:hAnsi="Garamond"/>
          <w:bCs/>
          <w:sz w:val="22"/>
          <w:szCs w:val="22"/>
        </w:rPr>
        <w:t xml:space="preserve"> pont esetében a </w:t>
      </w:r>
      <w:proofErr w:type="spellStart"/>
      <w:r w:rsidR="009F530D" w:rsidRPr="008A1BE7">
        <w:rPr>
          <w:rFonts w:ascii="Garamond" w:hAnsi="Garamond"/>
          <w:bCs/>
          <w:sz w:val="22"/>
          <w:szCs w:val="22"/>
        </w:rPr>
        <w:t>Szabs</w:t>
      </w:r>
      <w:proofErr w:type="spellEnd"/>
      <w:r w:rsidR="009F530D" w:rsidRPr="008A1BE7">
        <w:rPr>
          <w:rFonts w:ascii="Garamond" w:hAnsi="Garamond"/>
          <w:bCs/>
          <w:sz w:val="22"/>
          <w:szCs w:val="22"/>
        </w:rPr>
        <w:t xml:space="preserve">. </w:t>
      </w:r>
      <w:proofErr w:type="gramStart"/>
      <w:r w:rsidR="009F530D" w:rsidRPr="008A1BE7">
        <w:rPr>
          <w:rFonts w:ascii="Garamond" w:hAnsi="Garamond"/>
          <w:bCs/>
          <w:sz w:val="22"/>
          <w:szCs w:val="22"/>
        </w:rPr>
        <w:t>tv</w:t>
      </w:r>
      <w:proofErr w:type="gramEnd"/>
      <w:r w:rsidR="009F530D" w:rsidRPr="008A1BE7">
        <w:rPr>
          <w:rFonts w:ascii="Garamond" w:hAnsi="Garamond"/>
          <w:bCs/>
          <w:sz w:val="22"/>
          <w:szCs w:val="22"/>
        </w:rPr>
        <w:t xml:space="preserve">. 200. § szerinti szeszesital-árusítás, </w:t>
      </w:r>
      <w:proofErr w:type="spellStart"/>
      <w:r w:rsidR="009F530D" w:rsidRPr="008A1BE7">
        <w:rPr>
          <w:rFonts w:ascii="Garamond" w:hAnsi="Garamond"/>
          <w:bCs/>
          <w:sz w:val="22"/>
          <w:szCs w:val="22"/>
        </w:rPr>
        <w:t>-kiszolgálás</w:t>
      </w:r>
      <w:proofErr w:type="spellEnd"/>
      <w:r w:rsidR="009F530D" w:rsidRPr="008A1BE7">
        <w:rPr>
          <w:rFonts w:ascii="Garamond" w:hAnsi="Garamond"/>
          <w:bCs/>
          <w:sz w:val="22"/>
          <w:szCs w:val="22"/>
        </w:rPr>
        <w:t xml:space="preserve"> és –fogyasztás tilalmának megszegése </w:t>
      </w:r>
      <w:r w:rsidRPr="008A1BE7">
        <w:rPr>
          <w:rFonts w:ascii="Garamond" w:hAnsi="Garamond"/>
          <w:bCs/>
          <w:sz w:val="22"/>
          <w:szCs w:val="22"/>
        </w:rPr>
        <w:t>szabálysértést</w:t>
      </w:r>
      <w:r w:rsidR="007A7CDF">
        <w:rPr>
          <w:rFonts w:ascii="Garamond" w:hAnsi="Garamond"/>
          <w:bCs/>
          <w:sz w:val="22"/>
          <w:szCs w:val="22"/>
        </w:rPr>
        <w:t xml:space="preserve"> valósít meg. A 2.</w:t>
      </w:r>
      <w:r w:rsidR="009F530D" w:rsidRPr="008A1BE7">
        <w:rPr>
          <w:rFonts w:ascii="Garamond" w:hAnsi="Garamond"/>
          <w:bCs/>
          <w:sz w:val="22"/>
          <w:szCs w:val="22"/>
        </w:rPr>
        <w:t xml:space="preserve"> pontban szabályozott tevékenység ütközik a levegő védelméről szóló 306/2010. (XII.23.) Korm. rende</w:t>
      </w:r>
      <w:bookmarkStart w:id="0" w:name="_GoBack"/>
      <w:bookmarkEnd w:id="0"/>
      <w:r w:rsidR="009F530D" w:rsidRPr="008A1BE7">
        <w:rPr>
          <w:rFonts w:ascii="Garamond" w:hAnsi="Garamond"/>
          <w:bCs/>
          <w:sz w:val="22"/>
          <w:szCs w:val="22"/>
        </w:rPr>
        <w:t xml:space="preserve">let rendelkezéseivel. A kormányrendelet a cselekmény elkövetőjére levegőtisztaság-védelmi bírság kiszabását rendeli el. </w:t>
      </w:r>
    </w:p>
    <w:p w:rsidR="009F530D" w:rsidRPr="008A1BE7" w:rsidRDefault="009F530D" w:rsidP="003C0261">
      <w:pPr>
        <w:autoSpaceDE w:val="0"/>
        <w:autoSpaceDN w:val="0"/>
        <w:adjustRightInd w:val="0"/>
        <w:jc w:val="both"/>
        <w:rPr>
          <w:rFonts w:ascii="Garamond" w:hAnsi="Garamond"/>
          <w:bCs/>
          <w:sz w:val="22"/>
          <w:szCs w:val="22"/>
        </w:rPr>
      </w:pPr>
    </w:p>
    <w:p w:rsidR="003C0261" w:rsidRPr="008A1BE7" w:rsidRDefault="009F530D" w:rsidP="008A1BE7">
      <w:pPr>
        <w:autoSpaceDE w:val="0"/>
        <w:autoSpaceDN w:val="0"/>
        <w:adjustRightInd w:val="0"/>
        <w:jc w:val="center"/>
        <w:rPr>
          <w:rFonts w:ascii="Garamond" w:hAnsi="Garamond"/>
          <w:b/>
          <w:bCs/>
          <w:sz w:val="22"/>
          <w:szCs w:val="22"/>
        </w:rPr>
      </w:pPr>
      <w:r w:rsidRPr="008A1BE7">
        <w:rPr>
          <w:rFonts w:ascii="Garamond" w:hAnsi="Garamond"/>
          <w:b/>
          <w:bCs/>
          <w:sz w:val="22"/>
          <w:szCs w:val="22"/>
        </w:rPr>
        <w:t>5. §</w:t>
      </w:r>
      <w:proofErr w:type="spellStart"/>
      <w:r w:rsidR="008A1BE7" w:rsidRPr="008A1BE7">
        <w:rPr>
          <w:rFonts w:ascii="Garamond" w:hAnsi="Garamond"/>
          <w:b/>
          <w:bCs/>
          <w:sz w:val="22"/>
          <w:szCs w:val="22"/>
        </w:rPr>
        <w:t>-hoz</w:t>
      </w:r>
      <w:proofErr w:type="spellEnd"/>
    </w:p>
    <w:p w:rsidR="003C0261" w:rsidRPr="008A1BE7" w:rsidRDefault="009F530D" w:rsidP="00964CC0">
      <w:pPr>
        <w:autoSpaceDE w:val="0"/>
        <w:autoSpaceDN w:val="0"/>
        <w:adjustRightInd w:val="0"/>
        <w:jc w:val="both"/>
        <w:rPr>
          <w:rFonts w:ascii="Garamond" w:hAnsi="Garamond"/>
          <w:bCs/>
          <w:sz w:val="22"/>
          <w:szCs w:val="22"/>
        </w:rPr>
      </w:pPr>
      <w:r w:rsidRPr="008A1BE7">
        <w:rPr>
          <w:rFonts w:ascii="Garamond" w:hAnsi="Garamond"/>
          <w:bCs/>
          <w:sz w:val="22"/>
          <w:szCs w:val="22"/>
        </w:rPr>
        <w:t>A rendelet hatálybalépéséről és hatályon kívül helyezéséről rendelkezik.</w:t>
      </w:r>
    </w:p>
    <w:p w:rsidR="003C0261" w:rsidRDefault="003C0261" w:rsidP="00964CC0">
      <w:pPr>
        <w:autoSpaceDE w:val="0"/>
        <w:autoSpaceDN w:val="0"/>
        <w:adjustRightInd w:val="0"/>
        <w:jc w:val="both"/>
        <w:rPr>
          <w:rFonts w:ascii="Garamond" w:hAnsi="Garamond"/>
          <w:bCs/>
          <w:sz w:val="22"/>
          <w:szCs w:val="22"/>
        </w:rPr>
      </w:pPr>
    </w:p>
    <w:p w:rsidR="008A1BE7" w:rsidRPr="008A1BE7" w:rsidRDefault="008A1BE7" w:rsidP="00964CC0">
      <w:pPr>
        <w:autoSpaceDE w:val="0"/>
        <w:autoSpaceDN w:val="0"/>
        <w:adjustRightInd w:val="0"/>
        <w:jc w:val="both"/>
        <w:rPr>
          <w:rFonts w:ascii="Garamond" w:hAnsi="Garamond"/>
          <w:bCs/>
          <w:sz w:val="22"/>
          <w:szCs w:val="22"/>
        </w:rPr>
      </w:pPr>
    </w:p>
    <w:p w:rsidR="00964CC0" w:rsidRPr="008A1BE7" w:rsidRDefault="00964CC0" w:rsidP="00964CC0">
      <w:pPr>
        <w:numPr>
          <w:ilvl w:val="0"/>
          <w:numId w:val="1"/>
        </w:numPr>
        <w:autoSpaceDE w:val="0"/>
        <w:autoSpaceDN w:val="0"/>
        <w:adjustRightInd w:val="0"/>
        <w:jc w:val="center"/>
        <w:rPr>
          <w:rFonts w:ascii="Garamond" w:hAnsi="Garamond"/>
          <w:b/>
          <w:bCs/>
          <w:sz w:val="22"/>
          <w:szCs w:val="22"/>
        </w:rPr>
      </w:pPr>
      <w:r w:rsidRPr="008A1BE7">
        <w:rPr>
          <w:rFonts w:ascii="Garamond" w:hAnsi="Garamond"/>
          <w:b/>
          <w:bCs/>
          <w:sz w:val="22"/>
          <w:szCs w:val="22"/>
        </w:rPr>
        <w:t xml:space="preserve"> ELŐZETES HATÁSVIZSGÁLAT</w:t>
      </w:r>
    </w:p>
    <w:p w:rsidR="00964CC0" w:rsidRPr="008A1BE7" w:rsidRDefault="00964CC0" w:rsidP="00964CC0">
      <w:pPr>
        <w:autoSpaceDE w:val="0"/>
        <w:autoSpaceDN w:val="0"/>
        <w:adjustRightInd w:val="0"/>
        <w:rPr>
          <w:rFonts w:ascii="Garamond" w:hAnsi="Garamond"/>
          <w:b/>
          <w:bCs/>
          <w:sz w:val="22"/>
          <w:szCs w:val="22"/>
        </w:rPr>
      </w:pPr>
    </w:p>
    <w:p w:rsidR="00964CC0" w:rsidRPr="008A1BE7" w:rsidRDefault="00964CC0" w:rsidP="00964CC0">
      <w:pPr>
        <w:autoSpaceDE w:val="0"/>
        <w:autoSpaceDN w:val="0"/>
        <w:adjustRightInd w:val="0"/>
        <w:jc w:val="both"/>
        <w:rPr>
          <w:rFonts w:ascii="Garamond" w:hAnsi="Garamond"/>
          <w:sz w:val="22"/>
          <w:szCs w:val="22"/>
        </w:rPr>
      </w:pPr>
      <w:r w:rsidRPr="008A1BE7">
        <w:rPr>
          <w:rFonts w:ascii="Garamond" w:hAnsi="Garamond"/>
          <w:i/>
          <w:sz w:val="22"/>
          <w:szCs w:val="22"/>
        </w:rPr>
        <w:lastRenderedPageBreak/>
        <w:t>A jogalkotásról</w:t>
      </w:r>
      <w:r w:rsidRPr="008A1BE7">
        <w:rPr>
          <w:rFonts w:ascii="Garamond" w:hAnsi="Garamond"/>
          <w:sz w:val="22"/>
          <w:szCs w:val="22"/>
        </w:rPr>
        <w:t xml:space="preserve"> szóló 2010. évi CXXX. törvény 17. §-</w:t>
      </w:r>
      <w:proofErr w:type="gramStart"/>
      <w:r w:rsidRPr="008A1BE7">
        <w:rPr>
          <w:rFonts w:ascii="Garamond" w:hAnsi="Garamond"/>
          <w:sz w:val="22"/>
          <w:szCs w:val="22"/>
        </w:rPr>
        <w:t>a</w:t>
      </w:r>
      <w:proofErr w:type="gramEnd"/>
      <w:r w:rsidRPr="008A1BE7">
        <w:rPr>
          <w:rFonts w:ascii="Garamond" w:hAnsi="Garamond"/>
          <w:sz w:val="22"/>
          <w:szCs w:val="22"/>
        </w:rPr>
        <w:t xml:space="preserve"> alapján, az előzetes hatásvizsgálattal a jogszabály előkészítője felméri a szabályozás várható következményeit. Önkormányzati rendelet esetén a helyi önkormányzat képviselő-testületét az előzetes hatásvizsgálat eredményéről tájékoztatni kell. Ugyanezen törvény 17. § (2) bekezdése értelmében, a hatásvizsgálat során vizsgálni kell</w:t>
      </w:r>
    </w:p>
    <w:p w:rsidR="00964CC0" w:rsidRPr="008A1BE7" w:rsidRDefault="00964CC0" w:rsidP="00964CC0">
      <w:pPr>
        <w:autoSpaceDE w:val="0"/>
        <w:autoSpaceDN w:val="0"/>
        <w:adjustRightInd w:val="0"/>
        <w:jc w:val="both"/>
        <w:rPr>
          <w:rFonts w:ascii="Garamond" w:hAnsi="Garamond"/>
          <w:sz w:val="22"/>
          <w:szCs w:val="22"/>
        </w:rPr>
      </w:pPr>
    </w:p>
    <w:p w:rsidR="00964CC0" w:rsidRPr="008A1BE7" w:rsidRDefault="00964CC0" w:rsidP="00964CC0">
      <w:pPr>
        <w:autoSpaceDE w:val="0"/>
        <w:autoSpaceDN w:val="0"/>
        <w:adjustRightInd w:val="0"/>
        <w:ind w:firstLine="204"/>
        <w:jc w:val="both"/>
        <w:rPr>
          <w:rFonts w:ascii="Garamond" w:hAnsi="Garamond"/>
          <w:sz w:val="22"/>
          <w:szCs w:val="22"/>
        </w:rPr>
      </w:pPr>
      <w:proofErr w:type="gramStart"/>
      <w:r w:rsidRPr="008A1BE7">
        <w:rPr>
          <w:rFonts w:ascii="Garamond" w:hAnsi="Garamond"/>
          <w:i/>
          <w:iCs/>
          <w:sz w:val="22"/>
          <w:szCs w:val="22"/>
        </w:rPr>
        <w:t>a</w:t>
      </w:r>
      <w:proofErr w:type="gramEnd"/>
      <w:r w:rsidRPr="008A1BE7">
        <w:rPr>
          <w:rFonts w:ascii="Garamond" w:hAnsi="Garamond"/>
          <w:i/>
          <w:iCs/>
          <w:sz w:val="22"/>
          <w:szCs w:val="22"/>
        </w:rPr>
        <w:t xml:space="preserve">) </w:t>
      </w:r>
      <w:r w:rsidRPr="008A1BE7">
        <w:rPr>
          <w:rFonts w:ascii="Garamond" w:hAnsi="Garamond"/>
          <w:sz w:val="22"/>
          <w:szCs w:val="22"/>
        </w:rPr>
        <w:t>a tervezett jogszabály valamennyi jelentősnek ítélt hatását, különösen</w:t>
      </w:r>
    </w:p>
    <w:p w:rsidR="00964CC0" w:rsidRPr="008A1BE7" w:rsidRDefault="00964CC0" w:rsidP="00964CC0">
      <w:pPr>
        <w:autoSpaceDE w:val="0"/>
        <w:autoSpaceDN w:val="0"/>
        <w:adjustRightInd w:val="0"/>
        <w:ind w:firstLine="204"/>
        <w:jc w:val="both"/>
        <w:rPr>
          <w:rFonts w:ascii="Garamond" w:hAnsi="Garamond"/>
          <w:sz w:val="22"/>
          <w:szCs w:val="22"/>
        </w:rPr>
      </w:pPr>
      <w:r w:rsidRPr="008A1BE7">
        <w:rPr>
          <w:rFonts w:ascii="Garamond" w:hAnsi="Garamond"/>
          <w:i/>
          <w:iCs/>
          <w:sz w:val="22"/>
          <w:szCs w:val="22"/>
        </w:rPr>
        <w:t xml:space="preserve">aa) </w:t>
      </w:r>
      <w:r w:rsidRPr="008A1BE7">
        <w:rPr>
          <w:rFonts w:ascii="Garamond" w:hAnsi="Garamond"/>
          <w:sz w:val="22"/>
          <w:szCs w:val="22"/>
        </w:rPr>
        <w:t>társadalmi, gazdasági, költségvetési hatásait,</w:t>
      </w:r>
    </w:p>
    <w:p w:rsidR="00964CC0" w:rsidRPr="008A1BE7" w:rsidRDefault="00964CC0" w:rsidP="00964CC0">
      <w:pPr>
        <w:autoSpaceDE w:val="0"/>
        <w:autoSpaceDN w:val="0"/>
        <w:adjustRightInd w:val="0"/>
        <w:ind w:firstLine="204"/>
        <w:jc w:val="both"/>
        <w:rPr>
          <w:rFonts w:ascii="Garamond" w:hAnsi="Garamond"/>
          <w:sz w:val="22"/>
          <w:szCs w:val="22"/>
        </w:rPr>
      </w:pPr>
      <w:proofErr w:type="gramStart"/>
      <w:r w:rsidRPr="008A1BE7">
        <w:rPr>
          <w:rFonts w:ascii="Garamond" w:hAnsi="Garamond"/>
          <w:i/>
          <w:iCs/>
          <w:sz w:val="22"/>
          <w:szCs w:val="22"/>
        </w:rPr>
        <w:t>ab</w:t>
      </w:r>
      <w:proofErr w:type="gramEnd"/>
      <w:r w:rsidRPr="008A1BE7">
        <w:rPr>
          <w:rFonts w:ascii="Garamond" w:hAnsi="Garamond"/>
          <w:i/>
          <w:iCs/>
          <w:sz w:val="22"/>
          <w:szCs w:val="22"/>
        </w:rPr>
        <w:t xml:space="preserve">) </w:t>
      </w:r>
      <w:r w:rsidRPr="008A1BE7">
        <w:rPr>
          <w:rFonts w:ascii="Garamond" w:hAnsi="Garamond"/>
          <w:sz w:val="22"/>
          <w:szCs w:val="22"/>
        </w:rPr>
        <w:t>környezeti és egészségi következményeit,</w:t>
      </w:r>
    </w:p>
    <w:p w:rsidR="00964CC0" w:rsidRPr="008A1BE7" w:rsidRDefault="00964CC0" w:rsidP="00964CC0">
      <w:pPr>
        <w:autoSpaceDE w:val="0"/>
        <w:autoSpaceDN w:val="0"/>
        <w:adjustRightInd w:val="0"/>
        <w:ind w:firstLine="204"/>
        <w:jc w:val="both"/>
        <w:rPr>
          <w:rFonts w:ascii="Garamond" w:hAnsi="Garamond"/>
          <w:sz w:val="22"/>
          <w:szCs w:val="22"/>
        </w:rPr>
      </w:pPr>
      <w:proofErr w:type="spellStart"/>
      <w:r w:rsidRPr="008A1BE7">
        <w:rPr>
          <w:rFonts w:ascii="Garamond" w:hAnsi="Garamond"/>
          <w:i/>
          <w:iCs/>
          <w:sz w:val="22"/>
          <w:szCs w:val="22"/>
        </w:rPr>
        <w:t>ac</w:t>
      </w:r>
      <w:proofErr w:type="spellEnd"/>
      <w:r w:rsidRPr="008A1BE7">
        <w:rPr>
          <w:rFonts w:ascii="Garamond" w:hAnsi="Garamond"/>
          <w:i/>
          <w:iCs/>
          <w:sz w:val="22"/>
          <w:szCs w:val="22"/>
        </w:rPr>
        <w:t xml:space="preserve">) </w:t>
      </w:r>
      <w:r w:rsidRPr="008A1BE7">
        <w:rPr>
          <w:rFonts w:ascii="Garamond" w:hAnsi="Garamond"/>
          <w:sz w:val="22"/>
          <w:szCs w:val="22"/>
        </w:rPr>
        <w:t>adminisztratív terheket befolyásoló hatásait, valamint</w:t>
      </w:r>
    </w:p>
    <w:p w:rsidR="00964CC0" w:rsidRPr="008A1BE7" w:rsidRDefault="00964CC0" w:rsidP="00964CC0">
      <w:pPr>
        <w:autoSpaceDE w:val="0"/>
        <w:autoSpaceDN w:val="0"/>
        <w:adjustRightInd w:val="0"/>
        <w:ind w:left="204"/>
        <w:jc w:val="both"/>
        <w:rPr>
          <w:rFonts w:ascii="Garamond" w:hAnsi="Garamond"/>
          <w:sz w:val="22"/>
          <w:szCs w:val="22"/>
        </w:rPr>
      </w:pPr>
      <w:r w:rsidRPr="008A1BE7">
        <w:rPr>
          <w:rFonts w:ascii="Garamond" w:hAnsi="Garamond"/>
          <w:i/>
          <w:iCs/>
          <w:sz w:val="22"/>
          <w:szCs w:val="22"/>
        </w:rPr>
        <w:t xml:space="preserve">b) </w:t>
      </w:r>
      <w:r w:rsidRPr="008A1BE7">
        <w:rPr>
          <w:rFonts w:ascii="Garamond" w:hAnsi="Garamond"/>
          <w:sz w:val="22"/>
          <w:szCs w:val="22"/>
        </w:rPr>
        <w:t>a jogszabály megalkotásának szükségességét, a jogalkotás elmaradásának várható következményeit, és</w:t>
      </w:r>
    </w:p>
    <w:p w:rsidR="00964CC0" w:rsidRPr="008A1BE7" w:rsidRDefault="00964CC0" w:rsidP="00964CC0">
      <w:pPr>
        <w:autoSpaceDE w:val="0"/>
        <w:autoSpaceDN w:val="0"/>
        <w:adjustRightInd w:val="0"/>
        <w:ind w:firstLine="204"/>
        <w:jc w:val="both"/>
        <w:rPr>
          <w:rFonts w:ascii="Garamond" w:hAnsi="Garamond"/>
          <w:sz w:val="22"/>
          <w:szCs w:val="22"/>
        </w:rPr>
      </w:pPr>
      <w:r w:rsidRPr="008A1BE7">
        <w:rPr>
          <w:rFonts w:ascii="Garamond" w:hAnsi="Garamond"/>
          <w:i/>
          <w:iCs/>
          <w:sz w:val="22"/>
          <w:szCs w:val="22"/>
        </w:rPr>
        <w:t xml:space="preserve">c) </w:t>
      </w:r>
      <w:r w:rsidRPr="008A1BE7">
        <w:rPr>
          <w:rFonts w:ascii="Garamond" w:hAnsi="Garamond"/>
          <w:sz w:val="22"/>
          <w:szCs w:val="22"/>
        </w:rPr>
        <w:t>a jogszabály alkalmazásához szükséges személyi, szervezeti, tárgyi és pénzügyi feltételeket.</w:t>
      </w:r>
    </w:p>
    <w:p w:rsidR="00964CC0" w:rsidRPr="008A1BE7" w:rsidRDefault="00964CC0" w:rsidP="00964CC0">
      <w:pPr>
        <w:autoSpaceDE w:val="0"/>
        <w:autoSpaceDN w:val="0"/>
        <w:adjustRightInd w:val="0"/>
        <w:jc w:val="both"/>
        <w:rPr>
          <w:rFonts w:ascii="Garamond" w:hAnsi="Garamond"/>
          <w:sz w:val="22"/>
          <w:szCs w:val="22"/>
        </w:rPr>
      </w:pPr>
    </w:p>
    <w:p w:rsidR="00964CC0" w:rsidRPr="008A1BE7" w:rsidRDefault="00964CC0" w:rsidP="00964CC0">
      <w:pPr>
        <w:autoSpaceDE w:val="0"/>
        <w:autoSpaceDN w:val="0"/>
        <w:adjustRightInd w:val="0"/>
        <w:jc w:val="both"/>
        <w:rPr>
          <w:rFonts w:ascii="Garamond" w:hAnsi="Garamond"/>
          <w:b/>
          <w:bCs/>
          <w:sz w:val="22"/>
          <w:szCs w:val="22"/>
        </w:rPr>
      </w:pPr>
      <w:r w:rsidRPr="008A1BE7">
        <w:rPr>
          <w:rFonts w:ascii="Garamond" w:hAnsi="Garamond"/>
          <w:b/>
          <w:bCs/>
          <w:sz w:val="22"/>
          <w:szCs w:val="22"/>
        </w:rPr>
        <w:t>A tervezett jogszabály várható következményei, különösen</w:t>
      </w:r>
    </w:p>
    <w:p w:rsidR="00964CC0" w:rsidRPr="008A1BE7" w:rsidRDefault="00964CC0" w:rsidP="00964CC0">
      <w:pPr>
        <w:autoSpaceDE w:val="0"/>
        <w:autoSpaceDN w:val="0"/>
        <w:adjustRightInd w:val="0"/>
        <w:jc w:val="both"/>
        <w:rPr>
          <w:rFonts w:ascii="Garamond" w:hAnsi="Garamond"/>
          <w:b/>
          <w:bCs/>
          <w:sz w:val="22"/>
          <w:szCs w:val="22"/>
        </w:rPr>
      </w:pPr>
    </w:p>
    <w:p w:rsidR="00964CC0" w:rsidRPr="008A1BE7" w:rsidRDefault="00964CC0" w:rsidP="00964CC0">
      <w:pPr>
        <w:numPr>
          <w:ilvl w:val="0"/>
          <w:numId w:val="2"/>
        </w:numPr>
        <w:tabs>
          <w:tab w:val="left" w:pos="284"/>
        </w:tabs>
        <w:autoSpaceDE w:val="0"/>
        <w:autoSpaceDN w:val="0"/>
        <w:adjustRightInd w:val="0"/>
        <w:ind w:left="0" w:firstLine="0"/>
        <w:jc w:val="both"/>
        <w:rPr>
          <w:rFonts w:ascii="Garamond" w:hAnsi="Garamond"/>
          <w:sz w:val="22"/>
          <w:szCs w:val="22"/>
        </w:rPr>
      </w:pPr>
      <w:r w:rsidRPr="008A1BE7">
        <w:rPr>
          <w:rFonts w:ascii="Garamond" w:hAnsi="Garamond"/>
          <w:b/>
          <w:bCs/>
          <w:sz w:val="22"/>
          <w:szCs w:val="22"/>
        </w:rPr>
        <w:t xml:space="preserve">társadalmi hatásai: </w:t>
      </w:r>
      <w:r w:rsidRPr="008A1BE7">
        <w:rPr>
          <w:rFonts w:ascii="Garamond" w:hAnsi="Garamond"/>
          <w:color w:val="000000"/>
          <w:sz w:val="22"/>
          <w:szCs w:val="22"/>
        </w:rPr>
        <w:t>A közösségi együttélés alapvető szabályainak meghatározása és azok megsértése esetén történő szankcionálásával javulhat a közrend, közbiztonság, hiszen a szankcionálás lehetősége</w:t>
      </w:r>
      <w:r w:rsidR="00ED3732" w:rsidRPr="008A1BE7">
        <w:rPr>
          <w:rFonts w:ascii="Garamond" w:hAnsi="Garamond"/>
          <w:color w:val="000000"/>
          <w:sz w:val="22"/>
          <w:szCs w:val="22"/>
        </w:rPr>
        <w:t xml:space="preserve"> egyéni és társadalmi prevenciót szolgál,</w:t>
      </w:r>
      <w:r w:rsidRPr="008A1BE7">
        <w:rPr>
          <w:rFonts w:ascii="Garamond" w:hAnsi="Garamond"/>
          <w:color w:val="000000"/>
          <w:sz w:val="22"/>
          <w:szCs w:val="22"/>
        </w:rPr>
        <w:t xml:space="preserve"> visszatartó erőt jelenthet.   </w:t>
      </w:r>
    </w:p>
    <w:p w:rsidR="00964CC0" w:rsidRPr="008A1BE7" w:rsidRDefault="00964CC0" w:rsidP="00964CC0">
      <w:pPr>
        <w:pStyle w:val="msonormalcxspmiddle"/>
        <w:autoSpaceDE w:val="0"/>
        <w:autoSpaceDN w:val="0"/>
        <w:adjustRightInd w:val="0"/>
        <w:spacing w:before="0" w:beforeAutospacing="0" w:after="0" w:afterAutospacing="0"/>
        <w:jc w:val="both"/>
        <w:rPr>
          <w:rFonts w:ascii="Garamond" w:hAnsi="Garamond"/>
          <w:color w:val="000000"/>
          <w:sz w:val="22"/>
          <w:szCs w:val="22"/>
        </w:rPr>
      </w:pPr>
      <w:r w:rsidRPr="008A1BE7">
        <w:rPr>
          <w:rFonts w:ascii="Garamond" w:hAnsi="Garamond"/>
          <w:b/>
          <w:bCs/>
          <w:sz w:val="22"/>
          <w:szCs w:val="22"/>
        </w:rPr>
        <w:t xml:space="preserve">II. gazdasági hatásai: </w:t>
      </w:r>
      <w:r w:rsidRPr="008A1BE7">
        <w:rPr>
          <w:rFonts w:ascii="Garamond" w:hAnsi="Garamond"/>
          <w:color w:val="000000"/>
          <w:sz w:val="22"/>
          <w:szCs w:val="22"/>
        </w:rPr>
        <w:t>Az előterjesztésben foglalt tervezetnek gazdasági hatása nincs.</w:t>
      </w:r>
    </w:p>
    <w:p w:rsidR="00964CC0" w:rsidRPr="008A1BE7" w:rsidRDefault="00964CC0" w:rsidP="00964CC0">
      <w:pPr>
        <w:pStyle w:val="msonormalcxspmiddle"/>
        <w:autoSpaceDE w:val="0"/>
        <w:autoSpaceDN w:val="0"/>
        <w:adjustRightInd w:val="0"/>
        <w:spacing w:before="0" w:beforeAutospacing="0" w:after="0" w:afterAutospacing="0"/>
        <w:jc w:val="both"/>
        <w:rPr>
          <w:rFonts w:ascii="Garamond" w:hAnsi="Garamond"/>
          <w:color w:val="000000"/>
          <w:sz w:val="22"/>
          <w:szCs w:val="22"/>
        </w:rPr>
      </w:pPr>
      <w:r w:rsidRPr="008A1BE7">
        <w:rPr>
          <w:rFonts w:ascii="Garamond" w:hAnsi="Garamond"/>
          <w:b/>
          <w:bCs/>
          <w:sz w:val="22"/>
          <w:szCs w:val="22"/>
        </w:rPr>
        <w:t xml:space="preserve">III. költségvetési hatásai: </w:t>
      </w:r>
      <w:r w:rsidRPr="008A1BE7">
        <w:rPr>
          <w:rFonts w:ascii="Garamond" w:hAnsi="Garamond"/>
          <w:sz w:val="22"/>
          <w:szCs w:val="22"/>
        </w:rPr>
        <w:t>Az előterjesztésben foglalt tervezetnek</w:t>
      </w:r>
      <w:r w:rsidRPr="008A1BE7">
        <w:rPr>
          <w:rFonts w:ascii="Garamond" w:hAnsi="Garamond"/>
          <w:color w:val="000000"/>
          <w:sz w:val="22"/>
          <w:szCs w:val="22"/>
        </w:rPr>
        <w:t xml:space="preserve"> pozitív hatása van, hiszen a közigazgatási bírság az önkormányzatot megillető bevétel, amely adók módjára behajtható.</w:t>
      </w:r>
    </w:p>
    <w:p w:rsidR="00964CC0" w:rsidRPr="008A1BE7" w:rsidRDefault="00964CC0" w:rsidP="00964CC0">
      <w:pPr>
        <w:pStyle w:val="msonormalcxspmiddle"/>
        <w:autoSpaceDE w:val="0"/>
        <w:autoSpaceDN w:val="0"/>
        <w:adjustRightInd w:val="0"/>
        <w:spacing w:before="0" w:beforeAutospacing="0" w:after="0" w:afterAutospacing="0"/>
        <w:jc w:val="both"/>
        <w:rPr>
          <w:rFonts w:ascii="Garamond" w:hAnsi="Garamond"/>
          <w:color w:val="000000"/>
          <w:sz w:val="22"/>
          <w:szCs w:val="22"/>
        </w:rPr>
      </w:pPr>
      <w:r w:rsidRPr="008A1BE7">
        <w:rPr>
          <w:rFonts w:ascii="Garamond" w:hAnsi="Garamond"/>
          <w:b/>
          <w:bCs/>
          <w:sz w:val="22"/>
          <w:szCs w:val="22"/>
        </w:rPr>
        <w:t xml:space="preserve">IV. környezeti következményei: </w:t>
      </w:r>
      <w:r w:rsidRPr="008A1BE7">
        <w:rPr>
          <w:rFonts w:ascii="Garamond" w:hAnsi="Garamond"/>
          <w:color w:val="000000"/>
          <w:sz w:val="22"/>
          <w:szCs w:val="22"/>
        </w:rPr>
        <w:t>A</w:t>
      </w:r>
      <w:r w:rsidR="00A82519" w:rsidRPr="008A1BE7">
        <w:rPr>
          <w:rFonts w:ascii="Garamond" w:hAnsi="Garamond"/>
          <w:color w:val="000000"/>
          <w:sz w:val="22"/>
          <w:szCs w:val="22"/>
        </w:rPr>
        <w:t xml:space="preserve"> módosítási tervezet nem írja felül a jelenleg hatályos rendelet környezeti hatásait.</w:t>
      </w:r>
      <w:r w:rsidRPr="008A1BE7">
        <w:rPr>
          <w:rFonts w:ascii="Garamond" w:hAnsi="Garamond"/>
          <w:color w:val="000000"/>
          <w:sz w:val="22"/>
          <w:szCs w:val="22"/>
        </w:rPr>
        <w:t xml:space="preserve"> </w:t>
      </w:r>
    </w:p>
    <w:p w:rsidR="00964CC0" w:rsidRPr="008A1BE7" w:rsidRDefault="00964CC0" w:rsidP="00964CC0">
      <w:pPr>
        <w:autoSpaceDE w:val="0"/>
        <w:autoSpaceDN w:val="0"/>
        <w:adjustRightInd w:val="0"/>
        <w:jc w:val="both"/>
        <w:rPr>
          <w:rFonts w:ascii="Garamond" w:hAnsi="Garamond"/>
          <w:sz w:val="22"/>
          <w:szCs w:val="22"/>
        </w:rPr>
      </w:pPr>
      <w:r w:rsidRPr="008A1BE7">
        <w:rPr>
          <w:rFonts w:ascii="Garamond" w:hAnsi="Garamond"/>
          <w:b/>
          <w:bCs/>
          <w:sz w:val="22"/>
          <w:szCs w:val="22"/>
        </w:rPr>
        <w:t xml:space="preserve">V. egészségi következményei: </w:t>
      </w:r>
      <w:r w:rsidRPr="008A1BE7">
        <w:rPr>
          <w:rFonts w:ascii="Garamond" w:hAnsi="Garamond"/>
          <w:color w:val="000000"/>
          <w:sz w:val="22"/>
          <w:szCs w:val="22"/>
        </w:rPr>
        <w:t xml:space="preserve">A környezeti ártalmak csökkenésével javulhat az életminőség, az egészségesebb környezet jobb életfeltételeket biztosít. </w:t>
      </w:r>
    </w:p>
    <w:p w:rsidR="00964CC0" w:rsidRPr="008A1BE7" w:rsidRDefault="00964CC0" w:rsidP="00964CC0">
      <w:pPr>
        <w:autoSpaceDE w:val="0"/>
        <w:autoSpaceDN w:val="0"/>
        <w:adjustRightInd w:val="0"/>
        <w:jc w:val="both"/>
        <w:rPr>
          <w:rFonts w:ascii="Garamond" w:hAnsi="Garamond"/>
          <w:color w:val="000000"/>
          <w:sz w:val="22"/>
          <w:szCs w:val="22"/>
        </w:rPr>
      </w:pPr>
      <w:r w:rsidRPr="008A1BE7">
        <w:rPr>
          <w:rFonts w:ascii="Garamond" w:hAnsi="Garamond"/>
          <w:b/>
          <w:bCs/>
          <w:sz w:val="22"/>
          <w:szCs w:val="22"/>
        </w:rPr>
        <w:t xml:space="preserve">VI. adminisztratív terheket befolyásoló hatásai: </w:t>
      </w:r>
      <w:r w:rsidRPr="008A1BE7">
        <w:rPr>
          <w:rFonts w:ascii="Garamond" w:hAnsi="Garamond"/>
          <w:sz w:val="22"/>
          <w:szCs w:val="22"/>
        </w:rPr>
        <w:t>A tervezet</w:t>
      </w:r>
      <w:r w:rsidR="00A82519" w:rsidRPr="008A1BE7">
        <w:rPr>
          <w:rFonts w:ascii="Garamond" w:hAnsi="Garamond"/>
          <w:sz w:val="22"/>
          <w:szCs w:val="22"/>
        </w:rPr>
        <w:t xml:space="preserve"> a jelenleg is ellátandó feladatok mellett</w:t>
      </w:r>
      <w:r w:rsidRPr="008A1BE7">
        <w:rPr>
          <w:rFonts w:ascii="Garamond" w:hAnsi="Garamond"/>
          <w:sz w:val="22"/>
          <w:szCs w:val="22"/>
        </w:rPr>
        <w:t xml:space="preserve"> többletfeladatot</w:t>
      </w:r>
      <w:r w:rsidR="00A82519" w:rsidRPr="008A1BE7">
        <w:rPr>
          <w:rFonts w:ascii="Garamond" w:hAnsi="Garamond"/>
          <w:sz w:val="22"/>
          <w:szCs w:val="22"/>
        </w:rPr>
        <w:t xml:space="preserve"> nem eredményez</w:t>
      </w:r>
      <w:r w:rsidRPr="008A1BE7">
        <w:rPr>
          <w:rFonts w:ascii="Garamond" w:hAnsi="Garamond"/>
          <w:sz w:val="22"/>
          <w:szCs w:val="22"/>
        </w:rPr>
        <w:t xml:space="preserve">. </w:t>
      </w:r>
    </w:p>
    <w:p w:rsidR="00964CC0" w:rsidRPr="008A1BE7" w:rsidRDefault="00964CC0" w:rsidP="00964CC0">
      <w:pPr>
        <w:autoSpaceDE w:val="0"/>
        <w:autoSpaceDN w:val="0"/>
        <w:adjustRightInd w:val="0"/>
        <w:jc w:val="both"/>
        <w:rPr>
          <w:rFonts w:ascii="Garamond" w:hAnsi="Garamond"/>
          <w:sz w:val="22"/>
          <w:szCs w:val="22"/>
        </w:rPr>
      </w:pPr>
      <w:r w:rsidRPr="008A1BE7">
        <w:rPr>
          <w:rFonts w:ascii="Garamond" w:hAnsi="Garamond"/>
          <w:b/>
          <w:bCs/>
          <w:sz w:val="22"/>
          <w:szCs w:val="22"/>
        </w:rPr>
        <w:t xml:space="preserve">VII. megalkotásának szükségessége: </w:t>
      </w:r>
      <w:r w:rsidR="00A82519" w:rsidRPr="008A1BE7">
        <w:rPr>
          <w:rFonts w:ascii="Garamond" w:hAnsi="Garamond"/>
          <w:bCs/>
          <w:sz w:val="22"/>
          <w:szCs w:val="22"/>
        </w:rPr>
        <w:t xml:space="preserve">A módosítás nélkül az időközben felmerült közösség együttélési szabályokkal ütköző magatartások jogkövetkezmény nélkül maradnának, illetve hatályban maradnának, olyan rendelkezések, amely magatartások magasabb szintű jogszabályban rendezettek. </w:t>
      </w:r>
    </w:p>
    <w:p w:rsidR="00964CC0" w:rsidRPr="008A1BE7" w:rsidRDefault="00964CC0" w:rsidP="00964CC0">
      <w:pPr>
        <w:autoSpaceDE w:val="0"/>
        <w:autoSpaceDN w:val="0"/>
        <w:adjustRightInd w:val="0"/>
        <w:jc w:val="both"/>
        <w:rPr>
          <w:rFonts w:ascii="Garamond" w:hAnsi="Garamond"/>
          <w:sz w:val="22"/>
          <w:szCs w:val="22"/>
        </w:rPr>
      </w:pPr>
      <w:r w:rsidRPr="008A1BE7">
        <w:rPr>
          <w:rFonts w:ascii="Garamond" w:hAnsi="Garamond"/>
          <w:b/>
          <w:bCs/>
          <w:sz w:val="22"/>
          <w:szCs w:val="22"/>
        </w:rPr>
        <w:t>VIII. a jogalkotás elmaradásának várható következményei:</w:t>
      </w:r>
      <w:r w:rsidRPr="008A1BE7">
        <w:rPr>
          <w:rFonts w:ascii="Garamond" w:hAnsi="Garamond"/>
          <w:sz w:val="22"/>
          <w:szCs w:val="22"/>
        </w:rPr>
        <w:t xml:space="preserve"> </w:t>
      </w:r>
      <w:r w:rsidR="00A82519" w:rsidRPr="008A1BE7">
        <w:rPr>
          <w:rFonts w:ascii="Garamond" w:hAnsi="Garamond"/>
          <w:sz w:val="22"/>
          <w:szCs w:val="22"/>
        </w:rPr>
        <w:t>Magasabb szintű jogszabállyal történő ütközés miatt törvényességi felhívásra lehet számítani.</w:t>
      </w:r>
    </w:p>
    <w:p w:rsidR="00964CC0" w:rsidRPr="008A1BE7" w:rsidRDefault="00964CC0" w:rsidP="00964CC0">
      <w:pPr>
        <w:autoSpaceDE w:val="0"/>
        <w:autoSpaceDN w:val="0"/>
        <w:adjustRightInd w:val="0"/>
        <w:jc w:val="both"/>
        <w:rPr>
          <w:rFonts w:ascii="Garamond" w:hAnsi="Garamond"/>
          <w:sz w:val="22"/>
          <w:szCs w:val="22"/>
        </w:rPr>
      </w:pPr>
      <w:r w:rsidRPr="008A1BE7">
        <w:rPr>
          <w:rFonts w:ascii="Garamond" w:hAnsi="Garamond"/>
          <w:b/>
          <w:bCs/>
          <w:sz w:val="22"/>
          <w:szCs w:val="22"/>
        </w:rPr>
        <w:t xml:space="preserve">IX. alkalmazásához szükséges személyi, szervezeti, tárgyi és pénzügyi feltételek: </w:t>
      </w:r>
      <w:r w:rsidRPr="008A1BE7">
        <w:rPr>
          <w:rFonts w:ascii="Garamond" w:hAnsi="Garamond"/>
          <w:sz w:val="22"/>
          <w:szCs w:val="22"/>
        </w:rPr>
        <w:t>A feltételek rendelkezésre állnak.</w:t>
      </w:r>
    </w:p>
    <w:p w:rsidR="00964CC0" w:rsidRPr="008A1BE7" w:rsidRDefault="00964CC0" w:rsidP="00964CC0">
      <w:pPr>
        <w:pStyle w:val="JogtrNormlTrzs"/>
        <w:rPr>
          <w:rFonts w:ascii="Garamond" w:hAnsi="Garamond"/>
          <w:sz w:val="22"/>
          <w:szCs w:val="22"/>
        </w:rPr>
      </w:pPr>
    </w:p>
    <w:p w:rsidR="00964CC0" w:rsidRPr="008A1BE7" w:rsidRDefault="00964CC0" w:rsidP="00964CC0">
      <w:pPr>
        <w:pStyle w:val="JogtrNormlTrzs"/>
        <w:rPr>
          <w:rFonts w:ascii="Garamond" w:hAnsi="Garamond"/>
          <w:sz w:val="22"/>
          <w:szCs w:val="22"/>
        </w:rPr>
      </w:pPr>
      <w:r w:rsidRPr="008A1BE7">
        <w:rPr>
          <w:rFonts w:ascii="Garamond" w:hAnsi="Garamond"/>
          <w:sz w:val="22"/>
          <w:szCs w:val="22"/>
        </w:rPr>
        <w:t>Tisztelt Képviselő-testület!</w:t>
      </w:r>
    </w:p>
    <w:p w:rsidR="00964CC0" w:rsidRPr="008A1BE7" w:rsidRDefault="00964CC0" w:rsidP="00964CC0">
      <w:pPr>
        <w:pStyle w:val="JogtrNormlTrzs"/>
        <w:rPr>
          <w:rFonts w:ascii="Garamond" w:hAnsi="Garamond"/>
          <w:sz w:val="22"/>
          <w:szCs w:val="22"/>
        </w:rPr>
      </w:pPr>
    </w:p>
    <w:p w:rsidR="00964CC0" w:rsidRPr="008A1BE7" w:rsidRDefault="00964CC0" w:rsidP="00964CC0">
      <w:pPr>
        <w:pStyle w:val="JogtrNormlTrzs"/>
        <w:rPr>
          <w:rFonts w:ascii="Garamond" w:hAnsi="Garamond"/>
          <w:sz w:val="22"/>
          <w:szCs w:val="22"/>
        </w:rPr>
      </w:pPr>
      <w:r w:rsidRPr="008A1BE7">
        <w:rPr>
          <w:rFonts w:ascii="Garamond" w:hAnsi="Garamond"/>
          <w:sz w:val="22"/>
          <w:szCs w:val="22"/>
        </w:rPr>
        <w:t>Kérem a rendelet-tervezet megvitatását és annak elfogadását!</w:t>
      </w:r>
    </w:p>
    <w:p w:rsidR="00964CC0" w:rsidRPr="008A1BE7" w:rsidRDefault="00964CC0" w:rsidP="00964CC0">
      <w:pPr>
        <w:pStyle w:val="JogtrNormlTrzs"/>
        <w:rPr>
          <w:rFonts w:ascii="Garamond" w:hAnsi="Garamond"/>
          <w:sz w:val="22"/>
          <w:szCs w:val="22"/>
        </w:rPr>
      </w:pPr>
    </w:p>
    <w:p w:rsidR="00964CC0" w:rsidRPr="008A1BE7" w:rsidRDefault="00964CC0" w:rsidP="00964CC0">
      <w:pPr>
        <w:pStyle w:val="JogtrNormlTrzs"/>
        <w:rPr>
          <w:rFonts w:ascii="Garamond" w:hAnsi="Garamond"/>
          <w:sz w:val="22"/>
          <w:szCs w:val="22"/>
        </w:rPr>
      </w:pPr>
    </w:p>
    <w:p w:rsidR="00964CC0" w:rsidRPr="008A1BE7" w:rsidRDefault="00964CC0" w:rsidP="00964CC0">
      <w:pPr>
        <w:tabs>
          <w:tab w:val="left" w:pos="0"/>
        </w:tabs>
        <w:jc w:val="both"/>
        <w:rPr>
          <w:rFonts w:ascii="Garamond" w:hAnsi="Garamond"/>
          <w:sz w:val="22"/>
          <w:szCs w:val="22"/>
        </w:rPr>
      </w:pPr>
      <w:r w:rsidRPr="008A1BE7">
        <w:rPr>
          <w:rFonts w:ascii="Garamond" w:hAnsi="Garamond"/>
          <w:sz w:val="22"/>
          <w:szCs w:val="22"/>
        </w:rPr>
        <w:t>T</w:t>
      </w:r>
      <w:r w:rsidR="00A82519" w:rsidRPr="008A1BE7">
        <w:rPr>
          <w:rFonts w:ascii="Garamond" w:hAnsi="Garamond"/>
          <w:sz w:val="22"/>
          <w:szCs w:val="22"/>
        </w:rPr>
        <w:t>örökszentmiklós, 2015. október 20.</w:t>
      </w:r>
    </w:p>
    <w:p w:rsidR="00964CC0" w:rsidRPr="008A1BE7" w:rsidRDefault="00964CC0" w:rsidP="00964CC0">
      <w:pPr>
        <w:tabs>
          <w:tab w:val="left" w:pos="0"/>
        </w:tabs>
        <w:jc w:val="center"/>
        <w:rPr>
          <w:rFonts w:ascii="Garamond" w:hAnsi="Garamond"/>
          <w:sz w:val="22"/>
          <w:szCs w:val="22"/>
        </w:rPr>
      </w:pPr>
    </w:p>
    <w:p w:rsidR="00964CC0" w:rsidRPr="008A1BE7" w:rsidRDefault="00964CC0" w:rsidP="00964CC0">
      <w:pPr>
        <w:tabs>
          <w:tab w:val="left" w:pos="0"/>
        </w:tabs>
        <w:jc w:val="center"/>
        <w:rPr>
          <w:rFonts w:ascii="Garamond" w:hAnsi="Garamond"/>
          <w:sz w:val="22"/>
          <w:szCs w:val="22"/>
        </w:rPr>
      </w:pPr>
    </w:p>
    <w:p w:rsidR="00964CC0" w:rsidRPr="008A1BE7" w:rsidRDefault="00964CC0" w:rsidP="00964CC0">
      <w:pPr>
        <w:tabs>
          <w:tab w:val="left" w:pos="0"/>
        </w:tabs>
        <w:jc w:val="center"/>
        <w:rPr>
          <w:rFonts w:ascii="Garamond" w:hAnsi="Garamond"/>
          <w:sz w:val="22"/>
          <w:szCs w:val="22"/>
        </w:rPr>
      </w:pPr>
    </w:p>
    <w:p w:rsidR="00964CC0" w:rsidRPr="008A1BE7" w:rsidRDefault="00964CC0" w:rsidP="00964CC0">
      <w:pPr>
        <w:ind w:left="4500"/>
        <w:jc w:val="center"/>
        <w:rPr>
          <w:rFonts w:ascii="Garamond" w:hAnsi="Garamond"/>
          <w:b/>
          <w:sz w:val="22"/>
          <w:szCs w:val="22"/>
        </w:rPr>
      </w:pPr>
      <w:r w:rsidRPr="008A1BE7">
        <w:rPr>
          <w:rFonts w:ascii="Garamond" w:hAnsi="Garamond"/>
          <w:b/>
          <w:sz w:val="22"/>
          <w:szCs w:val="22"/>
        </w:rPr>
        <w:t>Markót Imre</w:t>
      </w:r>
    </w:p>
    <w:p w:rsidR="00964CC0" w:rsidRPr="008A1BE7" w:rsidRDefault="00964CC0" w:rsidP="00964CC0">
      <w:pPr>
        <w:tabs>
          <w:tab w:val="left" w:pos="0"/>
        </w:tabs>
        <w:ind w:left="4500"/>
        <w:jc w:val="center"/>
        <w:rPr>
          <w:rFonts w:ascii="Garamond" w:hAnsi="Garamond"/>
          <w:b/>
          <w:bCs/>
          <w:color w:val="000000"/>
          <w:sz w:val="22"/>
          <w:szCs w:val="22"/>
        </w:rPr>
      </w:pPr>
      <w:proofErr w:type="gramStart"/>
      <w:r w:rsidRPr="008A1BE7">
        <w:rPr>
          <w:rFonts w:ascii="Garamond" w:hAnsi="Garamond"/>
          <w:b/>
          <w:sz w:val="22"/>
          <w:szCs w:val="22"/>
        </w:rPr>
        <w:t>polgármester</w:t>
      </w:r>
      <w:proofErr w:type="gramEnd"/>
    </w:p>
    <w:p w:rsidR="00964CC0" w:rsidRPr="008A1BE7" w:rsidRDefault="00964CC0" w:rsidP="00964CC0">
      <w:pPr>
        <w:jc w:val="center"/>
        <w:rPr>
          <w:rFonts w:ascii="Garamond" w:hAnsi="Garamond"/>
          <w:b/>
          <w:iCs/>
          <w:color w:val="000000"/>
          <w:sz w:val="22"/>
          <w:szCs w:val="22"/>
        </w:rPr>
      </w:pPr>
    </w:p>
    <w:p w:rsidR="006557DA" w:rsidRPr="008A1BE7" w:rsidRDefault="006557DA" w:rsidP="006557DA">
      <w:pPr>
        <w:jc w:val="center"/>
        <w:rPr>
          <w:rFonts w:ascii="Garamond" w:hAnsi="Garamond"/>
          <w:b/>
          <w:sz w:val="22"/>
          <w:szCs w:val="22"/>
        </w:rPr>
      </w:pPr>
    </w:p>
    <w:p w:rsidR="006557DA" w:rsidRPr="008A1BE7" w:rsidRDefault="006557DA" w:rsidP="006557DA">
      <w:pPr>
        <w:jc w:val="center"/>
        <w:rPr>
          <w:rFonts w:ascii="Garamond" w:hAnsi="Garamond"/>
          <w:b/>
          <w:sz w:val="22"/>
          <w:szCs w:val="22"/>
        </w:rPr>
      </w:pPr>
    </w:p>
    <w:p w:rsidR="006557DA" w:rsidRPr="008A1BE7" w:rsidRDefault="006557DA" w:rsidP="006557DA">
      <w:pPr>
        <w:jc w:val="center"/>
        <w:rPr>
          <w:rFonts w:ascii="Garamond" w:hAnsi="Garamond"/>
          <w:b/>
          <w:sz w:val="22"/>
          <w:szCs w:val="22"/>
        </w:rPr>
      </w:pPr>
    </w:p>
    <w:p w:rsidR="006557DA" w:rsidRPr="008A1BE7" w:rsidRDefault="006557DA" w:rsidP="006557DA">
      <w:pPr>
        <w:jc w:val="center"/>
        <w:rPr>
          <w:rFonts w:ascii="Garamond" w:hAnsi="Garamond"/>
          <w:b/>
          <w:sz w:val="22"/>
          <w:szCs w:val="22"/>
        </w:rPr>
      </w:pPr>
    </w:p>
    <w:p w:rsidR="006557DA" w:rsidRPr="008A1BE7" w:rsidRDefault="006557DA" w:rsidP="006557DA">
      <w:pPr>
        <w:jc w:val="center"/>
        <w:rPr>
          <w:rFonts w:ascii="Garamond" w:hAnsi="Garamond"/>
          <w:b/>
          <w:sz w:val="22"/>
          <w:szCs w:val="22"/>
        </w:rPr>
      </w:pPr>
    </w:p>
    <w:p w:rsidR="006557DA" w:rsidRPr="008A1BE7" w:rsidRDefault="006557DA" w:rsidP="006557DA">
      <w:pPr>
        <w:jc w:val="center"/>
        <w:rPr>
          <w:rFonts w:ascii="Garamond" w:hAnsi="Garamond"/>
          <w:b/>
          <w:sz w:val="22"/>
          <w:szCs w:val="22"/>
        </w:rPr>
      </w:pPr>
    </w:p>
    <w:p w:rsidR="006557DA" w:rsidRPr="008A1BE7" w:rsidRDefault="006557DA" w:rsidP="006557DA">
      <w:pPr>
        <w:jc w:val="center"/>
        <w:rPr>
          <w:rFonts w:ascii="Garamond" w:hAnsi="Garamond"/>
          <w:b/>
          <w:sz w:val="22"/>
          <w:szCs w:val="22"/>
        </w:rPr>
      </w:pPr>
    </w:p>
    <w:p w:rsidR="00CA2D98" w:rsidRPr="008A1BE7" w:rsidRDefault="00CA2D98" w:rsidP="006557DA">
      <w:pPr>
        <w:jc w:val="center"/>
        <w:rPr>
          <w:rFonts w:ascii="Garamond" w:hAnsi="Garamond"/>
          <w:b/>
          <w:sz w:val="22"/>
          <w:szCs w:val="22"/>
        </w:rPr>
      </w:pPr>
    </w:p>
    <w:p w:rsidR="00CA2D98" w:rsidRPr="008A1BE7" w:rsidRDefault="00CA2D98" w:rsidP="006557DA">
      <w:pPr>
        <w:jc w:val="center"/>
        <w:rPr>
          <w:rFonts w:ascii="Garamond" w:hAnsi="Garamond"/>
          <w:b/>
          <w:sz w:val="22"/>
          <w:szCs w:val="22"/>
        </w:rPr>
      </w:pPr>
    </w:p>
    <w:p w:rsidR="00CA2D98" w:rsidRPr="008A1BE7" w:rsidRDefault="00CA2D98" w:rsidP="006557DA">
      <w:pPr>
        <w:jc w:val="center"/>
        <w:rPr>
          <w:rFonts w:ascii="Garamond" w:hAnsi="Garamond"/>
          <w:b/>
          <w:sz w:val="22"/>
          <w:szCs w:val="22"/>
        </w:rPr>
      </w:pPr>
    </w:p>
    <w:p w:rsidR="00CA2D98" w:rsidRPr="008A1BE7" w:rsidRDefault="00CA2D98" w:rsidP="006557DA">
      <w:pPr>
        <w:jc w:val="center"/>
        <w:rPr>
          <w:rFonts w:ascii="Garamond" w:hAnsi="Garamond"/>
          <w:b/>
          <w:sz w:val="22"/>
          <w:szCs w:val="22"/>
        </w:rPr>
      </w:pPr>
    </w:p>
    <w:p w:rsidR="008A1BE7" w:rsidRDefault="008A1BE7">
      <w:pPr>
        <w:spacing w:after="200" w:line="276" w:lineRule="auto"/>
        <w:rPr>
          <w:rFonts w:ascii="Garamond" w:hAnsi="Garamond"/>
          <w:b/>
          <w:sz w:val="22"/>
          <w:szCs w:val="22"/>
        </w:rPr>
      </w:pPr>
    </w:p>
    <w:p w:rsidR="006557DA" w:rsidRPr="008A1BE7" w:rsidRDefault="006557DA" w:rsidP="006557DA">
      <w:pPr>
        <w:jc w:val="center"/>
        <w:rPr>
          <w:rFonts w:ascii="Garamond" w:hAnsi="Garamond"/>
          <w:b/>
          <w:sz w:val="22"/>
          <w:szCs w:val="22"/>
        </w:rPr>
      </w:pPr>
      <w:r w:rsidRPr="008A1BE7">
        <w:rPr>
          <w:rFonts w:ascii="Garamond" w:hAnsi="Garamond"/>
          <w:b/>
          <w:sz w:val="22"/>
          <w:szCs w:val="22"/>
        </w:rPr>
        <w:t>TÖRÖKSZENTMIKLÓS VÁROSI ÖNKORMÁNYZAT</w:t>
      </w:r>
    </w:p>
    <w:p w:rsidR="006557DA" w:rsidRPr="008A1BE7" w:rsidRDefault="006557DA" w:rsidP="006557DA">
      <w:pPr>
        <w:jc w:val="center"/>
        <w:rPr>
          <w:rFonts w:ascii="Garamond" w:hAnsi="Garamond"/>
          <w:b/>
          <w:sz w:val="22"/>
          <w:szCs w:val="22"/>
        </w:rPr>
      </w:pPr>
      <w:r w:rsidRPr="008A1BE7">
        <w:rPr>
          <w:rFonts w:ascii="Garamond" w:hAnsi="Garamond"/>
          <w:b/>
          <w:sz w:val="22"/>
          <w:szCs w:val="22"/>
        </w:rPr>
        <w:t>KÉPVISELŐ-TESTÜLETÉNEK</w:t>
      </w:r>
    </w:p>
    <w:p w:rsidR="006557DA" w:rsidRPr="008A1BE7" w:rsidRDefault="006557DA" w:rsidP="006557DA">
      <w:pPr>
        <w:jc w:val="center"/>
        <w:rPr>
          <w:rFonts w:ascii="Garamond" w:hAnsi="Garamond"/>
          <w:b/>
          <w:sz w:val="22"/>
          <w:szCs w:val="22"/>
        </w:rPr>
      </w:pPr>
    </w:p>
    <w:p w:rsidR="006557DA" w:rsidRPr="008A1BE7" w:rsidRDefault="006557DA" w:rsidP="006557DA">
      <w:pPr>
        <w:jc w:val="center"/>
        <w:rPr>
          <w:rFonts w:ascii="Garamond" w:hAnsi="Garamond"/>
          <w:b/>
          <w:sz w:val="22"/>
          <w:szCs w:val="22"/>
        </w:rPr>
      </w:pPr>
      <w:r w:rsidRPr="008A1BE7">
        <w:rPr>
          <w:rFonts w:ascii="Garamond" w:hAnsi="Garamond"/>
          <w:b/>
          <w:sz w:val="22"/>
          <w:szCs w:val="22"/>
        </w:rPr>
        <w:t>____/2015. ( ____ )</w:t>
      </w:r>
    </w:p>
    <w:p w:rsidR="006557DA" w:rsidRPr="008A1BE7" w:rsidRDefault="006557DA" w:rsidP="006557DA">
      <w:pPr>
        <w:jc w:val="center"/>
        <w:rPr>
          <w:rFonts w:ascii="Garamond" w:hAnsi="Garamond"/>
          <w:b/>
          <w:sz w:val="22"/>
          <w:szCs w:val="22"/>
        </w:rPr>
      </w:pPr>
    </w:p>
    <w:p w:rsidR="006557DA" w:rsidRPr="008A1BE7" w:rsidRDefault="003626B1" w:rsidP="006557DA">
      <w:pPr>
        <w:jc w:val="center"/>
        <w:rPr>
          <w:rFonts w:ascii="Garamond" w:hAnsi="Garamond"/>
          <w:b/>
          <w:sz w:val="22"/>
          <w:szCs w:val="22"/>
        </w:rPr>
      </w:pPr>
      <w:r w:rsidRPr="008A1BE7">
        <w:rPr>
          <w:rFonts w:ascii="Garamond" w:hAnsi="Garamond"/>
          <w:b/>
          <w:sz w:val="22"/>
          <w:szCs w:val="22"/>
        </w:rPr>
        <w:t>ÖNKORMÁNYZATI RENDELET</w:t>
      </w:r>
    </w:p>
    <w:p w:rsidR="006557DA" w:rsidRPr="008A1BE7" w:rsidRDefault="006557DA" w:rsidP="006557DA">
      <w:pPr>
        <w:jc w:val="center"/>
        <w:rPr>
          <w:rFonts w:ascii="Garamond" w:hAnsi="Garamond"/>
          <w:b/>
          <w:sz w:val="22"/>
          <w:szCs w:val="22"/>
        </w:rPr>
      </w:pPr>
    </w:p>
    <w:p w:rsidR="006557DA" w:rsidRPr="008A1BE7" w:rsidRDefault="006557DA" w:rsidP="006557DA">
      <w:pPr>
        <w:jc w:val="center"/>
        <w:rPr>
          <w:rFonts w:ascii="Garamond" w:hAnsi="Garamond"/>
          <w:b/>
          <w:snapToGrid w:val="0"/>
          <w:sz w:val="22"/>
          <w:szCs w:val="22"/>
        </w:rPr>
      </w:pPr>
      <w:proofErr w:type="gramStart"/>
      <w:r w:rsidRPr="008A1BE7">
        <w:rPr>
          <w:rFonts w:ascii="Garamond" w:hAnsi="Garamond"/>
          <w:b/>
          <w:snapToGrid w:val="0"/>
          <w:sz w:val="22"/>
          <w:szCs w:val="22"/>
        </w:rPr>
        <w:t>a</w:t>
      </w:r>
      <w:proofErr w:type="gramEnd"/>
      <w:r w:rsidRPr="008A1BE7">
        <w:rPr>
          <w:rFonts w:ascii="Garamond" w:hAnsi="Garamond"/>
          <w:b/>
          <w:snapToGrid w:val="0"/>
          <w:sz w:val="22"/>
          <w:szCs w:val="22"/>
        </w:rPr>
        <w:t xml:space="preserve"> közösségi együttélés alapvető szabályairól és ezek megszegésének következményeiről szóló 14/2015. (V.29.) önkormányzati rendelet (továbbiakban: </w:t>
      </w:r>
      <w:proofErr w:type="spellStart"/>
      <w:r w:rsidRPr="008A1BE7">
        <w:rPr>
          <w:rFonts w:ascii="Garamond" w:hAnsi="Garamond"/>
          <w:b/>
          <w:snapToGrid w:val="0"/>
          <w:sz w:val="22"/>
          <w:szCs w:val="22"/>
        </w:rPr>
        <w:t>Ör</w:t>
      </w:r>
      <w:proofErr w:type="spellEnd"/>
      <w:r w:rsidRPr="008A1BE7">
        <w:rPr>
          <w:rFonts w:ascii="Garamond" w:hAnsi="Garamond"/>
          <w:b/>
          <w:snapToGrid w:val="0"/>
          <w:sz w:val="22"/>
          <w:szCs w:val="22"/>
        </w:rPr>
        <w:t>) módosításáról</w:t>
      </w:r>
    </w:p>
    <w:p w:rsidR="006557DA" w:rsidRPr="008A1BE7" w:rsidRDefault="006557DA" w:rsidP="006557DA">
      <w:pPr>
        <w:tabs>
          <w:tab w:val="left" w:pos="1701"/>
        </w:tabs>
        <w:jc w:val="both"/>
        <w:rPr>
          <w:rFonts w:ascii="Garamond" w:hAnsi="Garamond"/>
          <w:i/>
          <w:noProof/>
          <w:sz w:val="22"/>
          <w:szCs w:val="22"/>
        </w:rPr>
      </w:pPr>
    </w:p>
    <w:p w:rsidR="006557DA" w:rsidRPr="008A1BE7" w:rsidRDefault="00590A2A" w:rsidP="006557DA">
      <w:pPr>
        <w:tabs>
          <w:tab w:val="left" w:pos="851"/>
        </w:tabs>
        <w:jc w:val="both"/>
        <w:rPr>
          <w:rFonts w:ascii="Garamond" w:hAnsi="Garamond"/>
          <w:color w:val="000000"/>
          <w:spacing w:val="-2"/>
          <w:sz w:val="22"/>
          <w:szCs w:val="22"/>
        </w:rPr>
      </w:pPr>
      <w:r w:rsidRPr="008A1BE7">
        <w:rPr>
          <w:rFonts w:ascii="Garamond" w:hAnsi="Garamond"/>
          <w:b/>
          <w:color w:val="000000"/>
          <w:spacing w:val="-2"/>
          <w:sz w:val="22"/>
          <w:szCs w:val="22"/>
        </w:rPr>
        <w:t>1. §</w:t>
      </w:r>
      <w:r w:rsidRPr="008A1BE7">
        <w:rPr>
          <w:rFonts w:ascii="Garamond" w:hAnsi="Garamond"/>
          <w:color w:val="000000"/>
          <w:spacing w:val="-2"/>
          <w:sz w:val="22"/>
          <w:szCs w:val="22"/>
        </w:rPr>
        <w:t xml:space="preserve"> </w:t>
      </w:r>
      <w:r w:rsidR="004F2D04" w:rsidRPr="008A1BE7">
        <w:rPr>
          <w:rFonts w:ascii="Garamond" w:hAnsi="Garamond"/>
          <w:color w:val="000000"/>
          <w:spacing w:val="-2"/>
          <w:sz w:val="22"/>
          <w:szCs w:val="22"/>
        </w:rPr>
        <w:t>(1)</w:t>
      </w:r>
      <w:r w:rsidRPr="008A1BE7">
        <w:rPr>
          <w:rFonts w:ascii="Garamond" w:hAnsi="Garamond"/>
          <w:color w:val="000000"/>
          <w:spacing w:val="-2"/>
          <w:sz w:val="22"/>
          <w:szCs w:val="22"/>
        </w:rPr>
        <w:tab/>
        <w:t xml:space="preserve">Az </w:t>
      </w:r>
      <w:proofErr w:type="spellStart"/>
      <w:r w:rsidRPr="008A1BE7">
        <w:rPr>
          <w:rFonts w:ascii="Garamond" w:hAnsi="Garamond"/>
          <w:color w:val="000000"/>
          <w:spacing w:val="-2"/>
          <w:sz w:val="22"/>
          <w:szCs w:val="22"/>
        </w:rPr>
        <w:t>Ör</w:t>
      </w:r>
      <w:proofErr w:type="spellEnd"/>
      <w:r w:rsidRPr="008A1BE7">
        <w:rPr>
          <w:rFonts w:ascii="Garamond" w:hAnsi="Garamond"/>
          <w:color w:val="000000"/>
          <w:spacing w:val="-2"/>
          <w:sz w:val="22"/>
          <w:szCs w:val="22"/>
        </w:rPr>
        <w:t>. 7</w:t>
      </w:r>
      <w:r w:rsidR="006557DA" w:rsidRPr="008A1BE7">
        <w:rPr>
          <w:rFonts w:ascii="Garamond" w:hAnsi="Garamond"/>
          <w:color w:val="000000"/>
          <w:spacing w:val="-2"/>
          <w:sz w:val="22"/>
          <w:szCs w:val="22"/>
        </w:rPr>
        <w:t>. § (</w:t>
      </w:r>
      <w:r w:rsidRPr="008A1BE7">
        <w:rPr>
          <w:rFonts w:ascii="Garamond" w:hAnsi="Garamond"/>
          <w:color w:val="000000"/>
          <w:spacing w:val="-2"/>
          <w:sz w:val="22"/>
          <w:szCs w:val="22"/>
        </w:rPr>
        <w:t>1) bekezdés e, pontja</w:t>
      </w:r>
      <w:r w:rsidR="006557DA" w:rsidRPr="008A1BE7">
        <w:rPr>
          <w:rFonts w:ascii="Garamond" w:hAnsi="Garamond"/>
          <w:color w:val="000000"/>
          <w:spacing w:val="-2"/>
          <w:sz w:val="22"/>
          <w:szCs w:val="22"/>
        </w:rPr>
        <w:t xml:space="preserve"> helyébe a következő rendelkezés lép:</w:t>
      </w:r>
    </w:p>
    <w:p w:rsidR="006557DA" w:rsidRPr="008A1BE7" w:rsidRDefault="006557DA" w:rsidP="006557DA">
      <w:pPr>
        <w:tabs>
          <w:tab w:val="left" w:pos="1701"/>
        </w:tabs>
        <w:ind w:left="2266"/>
        <w:jc w:val="both"/>
        <w:rPr>
          <w:rFonts w:ascii="Garamond" w:hAnsi="Garamond"/>
          <w:i/>
          <w:noProof/>
          <w:sz w:val="22"/>
          <w:szCs w:val="22"/>
        </w:rPr>
      </w:pPr>
    </w:p>
    <w:p w:rsidR="006557DA" w:rsidRPr="008A1BE7" w:rsidRDefault="00590A2A" w:rsidP="00590A2A">
      <w:pPr>
        <w:tabs>
          <w:tab w:val="left" w:pos="426"/>
        </w:tabs>
        <w:ind w:left="284" w:hanging="284"/>
        <w:jc w:val="both"/>
        <w:rPr>
          <w:rFonts w:ascii="Garamond" w:hAnsi="Garamond"/>
          <w:i/>
          <w:noProof/>
          <w:sz w:val="22"/>
          <w:szCs w:val="22"/>
        </w:rPr>
      </w:pPr>
      <w:r w:rsidRPr="008A1BE7">
        <w:rPr>
          <w:rFonts w:ascii="Garamond" w:hAnsi="Garamond"/>
          <w:i/>
          <w:noProof/>
          <w:sz w:val="22"/>
          <w:szCs w:val="22"/>
        </w:rPr>
        <w:t>e</w:t>
      </w:r>
      <w:r w:rsidR="006557DA" w:rsidRPr="008A1BE7">
        <w:rPr>
          <w:rFonts w:ascii="Garamond" w:hAnsi="Garamond"/>
          <w:i/>
          <w:noProof/>
          <w:sz w:val="22"/>
          <w:szCs w:val="22"/>
        </w:rPr>
        <w:t xml:space="preserve">) </w:t>
      </w:r>
      <w:r w:rsidRPr="008A1BE7">
        <w:rPr>
          <w:rFonts w:ascii="Garamond" w:hAnsi="Garamond"/>
          <w:i/>
          <w:noProof/>
          <w:sz w:val="22"/>
          <w:szCs w:val="22"/>
        </w:rPr>
        <w:tab/>
      </w:r>
      <w:r w:rsidRPr="008A1BE7">
        <w:rPr>
          <w:rFonts w:ascii="Garamond" w:hAnsi="Garamond"/>
          <w:i/>
          <w:noProof/>
          <w:sz w:val="22"/>
          <w:szCs w:val="22"/>
        </w:rPr>
        <w:tab/>
        <w:t>működésképtelen, forgalomból kivont, vagy forgalomban lévő valamennyi típusú gépjárművet – kivéve a közúti járművek műszaki megvizsgálásáról szóló 5/1990. (IV.12.) KöHÉM rendelet 2. § (9) bekezdés a, pontjában megjelölt M1 járműkategóriába tartozó személygépkocsik -, pótkocsit, vontatmányt, mezőgazdasági gépet, munkagépet közterületen tárol, különösen utak, járdák mentén szilárd burkolattal le nem fedett zöldterületen, valamint kijelölt parkolóhelyeken.</w:t>
      </w:r>
    </w:p>
    <w:p w:rsidR="00590A2A" w:rsidRPr="008A1BE7" w:rsidRDefault="00590A2A" w:rsidP="006557DA">
      <w:pPr>
        <w:tabs>
          <w:tab w:val="left" w:pos="851"/>
        </w:tabs>
        <w:jc w:val="both"/>
        <w:rPr>
          <w:rFonts w:ascii="Garamond" w:hAnsi="Garamond"/>
          <w:color w:val="000000"/>
          <w:spacing w:val="-2"/>
          <w:sz w:val="22"/>
          <w:szCs w:val="22"/>
        </w:rPr>
      </w:pPr>
    </w:p>
    <w:p w:rsidR="00590A2A" w:rsidRPr="008A1BE7" w:rsidRDefault="004F2D04" w:rsidP="006557DA">
      <w:pPr>
        <w:tabs>
          <w:tab w:val="left" w:pos="851"/>
        </w:tabs>
        <w:jc w:val="both"/>
        <w:rPr>
          <w:rFonts w:ascii="Garamond" w:hAnsi="Garamond"/>
          <w:color w:val="000000"/>
          <w:spacing w:val="-2"/>
          <w:sz w:val="22"/>
          <w:szCs w:val="22"/>
        </w:rPr>
      </w:pPr>
      <w:r w:rsidRPr="008A1BE7">
        <w:rPr>
          <w:rFonts w:ascii="Garamond" w:hAnsi="Garamond"/>
          <w:color w:val="000000"/>
          <w:spacing w:val="-2"/>
          <w:sz w:val="22"/>
          <w:szCs w:val="22"/>
        </w:rPr>
        <w:t>(2)</w:t>
      </w:r>
      <w:r w:rsidR="00590A2A" w:rsidRPr="008A1BE7">
        <w:rPr>
          <w:rFonts w:ascii="Garamond" w:hAnsi="Garamond"/>
          <w:color w:val="000000"/>
          <w:spacing w:val="-2"/>
          <w:sz w:val="22"/>
          <w:szCs w:val="22"/>
        </w:rPr>
        <w:tab/>
        <w:t xml:space="preserve">Az </w:t>
      </w:r>
      <w:proofErr w:type="spellStart"/>
      <w:r w:rsidR="00590A2A" w:rsidRPr="008A1BE7">
        <w:rPr>
          <w:rFonts w:ascii="Garamond" w:hAnsi="Garamond"/>
          <w:color w:val="000000"/>
          <w:spacing w:val="-2"/>
          <w:sz w:val="22"/>
          <w:szCs w:val="22"/>
        </w:rPr>
        <w:t>Ör</w:t>
      </w:r>
      <w:proofErr w:type="spellEnd"/>
      <w:r w:rsidR="00590A2A" w:rsidRPr="008A1BE7">
        <w:rPr>
          <w:rFonts w:ascii="Garamond" w:hAnsi="Garamond"/>
          <w:color w:val="000000"/>
          <w:spacing w:val="-2"/>
          <w:sz w:val="22"/>
          <w:szCs w:val="22"/>
        </w:rPr>
        <w:t>. 9. § (2) bekezdése helyébe az alábbi rendelkezés lép:</w:t>
      </w:r>
    </w:p>
    <w:p w:rsidR="006557DA" w:rsidRPr="008A1BE7" w:rsidRDefault="006557DA" w:rsidP="004F2D04">
      <w:pPr>
        <w:tabs>
          <w:tab w:val="left" w:pos="851"/>
        </w:tabs>
        <w:jc w:val="both"/>
        <w:rPr>
          <w:rFonts w:ascii="Garamond" w:hAnsi="Garamond"/>
          <w:color w:val="000000"/>
          <w:spacing w:val="-2"/>
          <w:sz w:val="22"/>
          <w:szCs w:val="22"/>
        </w:rPr>
      </w:pPr>
      <w:r w:rsidRPr="008A1BE7">
        <w:rPr>
          <w:rFonts w:ascii="Garamond" w:hAnsi="Garamond"/>
          <w:color w:val="000000"/>
          <w:spacing w:val="-2"/>
          <w:sz w:val="22"/>
          <w:szCs w:val="22"/>
        </w:rPr>
        <w:tab/>
      </w:r>
    </w:p>
    <w:p w:rsidR="00346FD0" w:rsidRPr="008A1BE7" w:rsidRDefault="00590A2A" w:rsidP="00346FD0">
      <w:pPr>
        <w:tabs>
          <w:tab w:val="left" w:pos="426"/>
        </w:tabs>
        <w:ind w:left="284" w:hanging="284"/>
        <w:jc w:val="both"/>
        <w:rPr>
          <w:rFonts w:ascii="Garamond" w:hAnsi="Garamond"/>
          <w:i/>
          <w:noProof/>
          <w:sz w:val="22"/>
          <w:szCs w:val="22"/>
        </w:rPr>
      </w:pPr>
      <w:r w:rsidRPr="008A1BE7">
        <w:rPr>
          <w:rFonts w:ascii="Garamond" w:hAnsi="Garamond"/>
          <w:i/>
          <w:noProof/>
          <w:sz w:val="22"/>
          <w:szCs w:val="22"/>
        </w:rPr>
        <w:t>(2)</w:t>
      </w:r>
      <w:r w:rsidRPr="008A1BE7">
        <w:rPr>
          <w:rFonts w:ascii="Garamond" w:hAnsi="Garamond"/>
          <w:i/>
          <w:noProof/>
          <w:sz w:val="22"/>
          <w:szCs w:val="22"/>
        </w:rPr>
        <w:tab/>
      </w:r>
      <w:r w:rsidRPr="008A1BE7">
        <w:rPr>
          <w:rFonts w:ascii="Garamond" w:hAnsi="Garamond"/>
          <w:i/>
          <w:noProof/>
          <w:sz w:val="22"/>
          <w:szCs w:val="22"/>
        </w:rPr>
        <w:tab/>
      </w:r>
      <w:r w:rsidR="004F2D04" w:rsidRPr="008A1BE7">
        <w:rPr>
          <w:rFonts w:ascii="Garamond" w:hAnsi="Garamond"/>
          <w:i/>
          <w:noProof/>
          <w:sz w:val="22"/>
          <w:szCs w:val="22"/>
        </w:rPr>
        <w:t xml:space="preserve">Közösségi együttélés alapvető szabályait sértő magatartást követ el aki, a közterület rendjéről, a zöldterület fenntartásáról és az állattartás szabályairól szóló 35/2004. (IX. 17.) számú önkormányzati rendelet 4. § (1) bekezdés a), c) és d) pontjaiban meghatározott – </w:t>
      </w:r>
      <w:r w:rsidR="00916B85" w:rsidRPr="008A1BE7">
        <w:rPr>
          <w:rFonts w:ascii="Garamond" w:hAnsi="Garamond"/>
          <w:i/>
          <w:noProof/>
          <w:sz w:val="22"/>
          <w:szCs w:val="22"/>
        </w:rPr>
        <w:t xml:space="preserve">kutya esetében a </w:t>
      </w:r>
      <w:r w:rsidR="004F2D04" w:rsidRPr="008A1BE7">
        <w:rPr>
          <w:rFonts w:ascii="Garamond" w:hAnsi="Garamond"/>
          <w:i/>
          <w:noProof/>
          <w:sz w:val="22"/>
          <w:szCs w:val="22"/>
        </w:rPr>
        <w:t>játszótér kivételével -  zöldterületre kutyát, vagy más állatot – kivéve a vakvezető kutyát és a rendőrkutyát - bevisz.</w:t>
      </w:r>
    </w:p>
    <w:p w:rsidR="00346FD0" w:rsidRPr="008A1BE7" w:rsidRDefault="00346FD0" w:rsidP="00346FD0">
      <w:pPr>
        <w:ind w:left="851" w:hanging="851"/>
        <w:jc w:val="both"/>
        <w:rPr>
          <w:rFonts w:ascii="Garamond" w:hAnsi="Garamond"/>
          <w:color w:val="000000"/>
          <w:spacing w:val="-2"/>
          <w:sz w:val="22"/>
          <w:szCs w:val="22"/>
        </w:rPr>
      </w:pPr>
    </w:p>
    <w:p w:rsidR="004F2D04" w:rsidRPr="008A1BE7" w:rsidRDefault="00346FD0" w:rsidP="006557DA">
      <w:pPr>
        <w:tabs>
          <w:tab w:val="left" w:pos="851"/>
        </w:tabs>
        <w:jc w:val="both"/>
        <w:rPr>
          <w:rFonts w:ascii="Garamond" w:hAnsi="Garamond"/>
          <w:color w:val="000000"/>
          <w:spacing w:val="-2"/>
          <w:sz w:val="22"/>
          <w:szCs w:val="22"/>
        </w:rPr>
      </w:pPr>
      <w:r w:rsidRPr="008A1BE7">
        <w:rPr>
          <w:rFonts w:ascii="Garamond" w:hAnsi="Garamond"/>
          <w:color w:val="000000"/>
          <w:spacing w:val="-2"/>
          <w:sz w:val="22"/>
          <w:szCs w:val="22"/>
        </w:rPr>
        <w:t>(3</w:t>
      </w:r>
      <w:r w:rsidR="004F2D04" w:rsidRPr="008A1BE7">
        <w:rPr>
          <w:rFonts w:ascii="Garamond" w:hAnsi="Garamond"/>
          <w:color w:val="000000"/>
          <w:spacing w:val="-2"/>
          <w:sz w:val="22"/>
          <w:szCs w:val="22"/>
        </w:rPr>
        <w:t xml:space="preserve">) </w:t>
      </w:r>
      <w:r w:rsidR="004F2D04" w:rsidRPr="008A1BE7">
        <w:rPr>
          <w:rFonts w:ascii="Garamond" w:hAnsi="Garamond"/>
          <w:color w:val="000000"/>
          <w:spacing w:val="-2"/>
          <w:sz w:val="22"/>
          <w:szCs w:val="22"/>
        </w:rPr>
        <w:tab/>
        <w:t xml:space="preserve">Az </w:t>
      </w:r>
      <w:proofErr w:type="spellStart"/>
      <w:r w:rsidR="004F2D04" w:rsidRPr="008A1BE7">
        <w:rPr>
          <w:rFonts w:ascii="Garamond" w:hAnsi="Garamond"/>
          <w:color w:val="000000"/>
          <w:spacing w:val="-2"/>
          <w:sz w:val="22"/>
          <w:szCs w:val="22"/>
        </w:rPr>
        <w:t>Ör</w:t>
      </w:r>
      <w:proofErr w:type="spellEnd"/>
      <w:r w:rsidR="004F2D04" w:rsidRPr="008A1BE7">
        <w:rPr>
          <w:rFonts w:ascii="Garamond" w:hAnsi="Garamond"/>
          <w:color w:val="000000"/>
          <w:spacing w:val="-2"/>
          <w:sz w:val="22"/>
          <w:szCs w:val="22"/>
        </w:rPr>
        <w:t>. 11. § (2) bekezdése helyébe az alábbi rendelkezés lép:</w:t>
      </w:r>
    </w:p>
    <w:p w:rsidR="004F2D04" w:rsidRPr="008A1BE7" w:rsidRDefault="004F2D04" w:rsidP="004F2D04">
      <w:pPr>
        <w:tabs>
          <w:tab w:val="left" w:pos="284"/>
        </w:tabs>
        <w:ind w:left="284" w:hanging="284"/>
        <w:jc w:val="both"/>
        <w:rPr>
          <w:rFonts w:ascii="Garamond" w:hAnsi="Garamond"/>
          <w:color w:val="000000"/>
          <w:spacing w:val="-2"/>
          <w:sz w:val="22"/>
          <w:szCs w:val="22"/>
        </w:rPr>
      </w:pPr>
    </w:p>
    <w:p w:rsidR="004F2D04" w:rsidRPr="008A1BE7" w:rsidRDefault="004F2D04" w:rsidP="004F2D04">
      <w:pPr>
        <w:tabs>
          <w:tab w:val="left" w:pos="426"/>
        </w:tabs>
        <w:ind w:left="284" w:hanging="284"/>
        <w:jc w:val="both"/>
        <w:rPr>
          <w:rFonts w:ascii="Garamond" w:hAnsi="Garamond"/>
          <w:i/>
          <w:color w:val="000000"/>
          <w:spacing w:val="-2"/>
          <w:sz w:val="22"/>
          <w:szCs w:val="22"/>
        </w:rPr>
      </w:pPr>
      <w:r w:rsidRPr="008A1BE7">
        <w:rPr>
          <w:rFonts w:ascii="Garamond" w:hAnsi="Garamond"/>
          <w:i/>
          <w:color w:val="000000"/>
          <w:spacing w:val="-2"/>
          <w:sz w:val="22"/>
          <w:szCs w:val="22"/>
        </w:rPr>
        <w:t>(2)</w:t>
      </w:r>
      <w:r w:rsidRPr="008A1BE7">
        <w:rPr>
          <w:rFonts w:ascii="Garamond" w:hAnsi="Garamond"/>
          <w:i/>
          <w:color w:val="000000"/>
          <w:spacing w:val="-2"/>
          <w:sz w:val="22"/>
          <w:szCs w:val="22"/>
        </w:rPr>
        <w:tab/>
      </w:r>
      <w:r w:rsidRPr="008A1BE7">
        <w:rPr>
          <w:rFonts w:ascii="Garamond" w:hAnsi="Garamond"/>
          <w:i/>
          <w:color w:val="000000"/>
          <w:spacing w:val="-2"/>
          <w:sz w:val="22"/>
          <w:szCs w:val="22"/>
        </w:rPr>
        <w:tab/>
        <w:t>Közösségi együttélés alapvető szabályait sértő magatartást követ el, aki az építményeken, kerítéseken, fákon, támfalon, villanyoszlopon bármilyen feliratot, jelzést alkalmaz.</w:t>
      </w:r>
    </w:p>
    <w:p w:rsidR="004F2D04" w:rsidRPr="008A1BE7" w:rsidRDefault="004F2D04" w:rsidP="006557DA">
      <w:pPr>
        <w:tabs>
          <w:tab w:val="left" w:pos="851"/>
        </w:tabs>
        <w:jc w:val="both"/>
        <w:rPr>
          <w:rFonts w:ascii="Garamond" w:hAnsi="Garamond"/>
          <w:color w:val="000000"/>
          <w:spacing w:val="-2"/>
          <w:sz w:val="22"/>
          <w:szCs w:val="22"/>
        </w:rPr>
      </w:pPr>
    </w:p>
    <w:p w:rsidR="004F2D04" w:rsidRPr="008A1BE7" w:rsidRDefault="00346FD0" w:rsidP="006557DA">
      <w:pPr>
        <w:tabs>
          <w:tab w:val="left" w:pos="851"/>
        </w:tabs>
        <w:jc w:val="both"/>
        <w:rPr>
          <w:rFonts w:ascii="Garamond" w:hAnsi="Garamond"/>
          <w:color w:val="000000"/>
          <w:spacing w:val="-2"/>
          <w:sz w:val="22"/>
          <w:szCs w:val="22"/>
        </w:rPr>
      </w:pPr>
      <w:r w:rsidRPr="008A1BE7">
        <w:rPr>
          <w:rFonts w:ascii="Garamond" w:hAnsi="Garamond"/>
          <w:color w:val="000000"/>
          <w:spacing w:val="-2"/>
          <w:sz w:val="22"/>
          <w:szCs w:val="22"/>
        </w:rPr>
        <w:t>(4</w:t>
      </w:r>
      <w:r w:rsidR="004F2D04" w:rsidRPr="008A1BE7">
        <w:rPr>
          <w:rFonts w:ascii="Garamond" w:hAnsi="Garamond"/>
          <w:color w:val="000000"/>
          <w:spacing w:val="-2"/>
          <w:sz w:val="22"/>
          <w:szCs w:val="22"/>
        </w:rPr>
        <w:t>)</w:t>
      </w:r>
      <w:r w:rsidR="004F2D04" w:rsidRPr="008A1BE7">
        <w:rPr>
          <w:rFonts w:ascii="Garamond" w:hAnsi="Garamond"/>
          <w:color w:val="000000"/>
          <w:spacing w:val="-2"/>
          <w:sz w:val="22"/>
          <w:szCs w:val="22"/>
        </w:rPr>
        <w:tab/>
        <w:t xml:space="preserve">Az </w:t>
      </w:r>
      <w:proofErr w:type="spellStart"/>
      <w:r w:rsidR="004F2D04" w:rsidRPr="008A1BE7">
        <w:rPr>
          <w:rFonts w:ascii="Garamond" w:hAnsi="Garamond"/>
          <w:color w:val="000000"/>
          <w:spacing w:val="-2"/>
          <w:sz w:val="22"/>
          <w:szCs w:val="22"/>
        </w:rPr>
        <w:t>Ör</w:t>
      </w:r>
      <w:proofErr w:type="spellEnd"/>
      <w:r w:rsidR="004F2D04" w:rsidRPr="008A1BE7">
        <w:rPr>
          <w:rFonts w:ascii="Garamond" w:hAnsi="Garamond"/>
          <w:color w:val="000000"/>
          <w:spacing w:val="-2"/>
          <w:sz w:val="22"/>
          <w:szCs w:val="22"/>
        </w:rPr>
        <w:t>. 12.</w:t>
      </w:r>
      <w:r w:rsidR="00CA2D98" w:rsidRPr="008A1BE7">
        <w:rPr>
          <w:rFonts w:ascii="Garamond" w:hAnsi="Garamond"/>
          <w:color w:val="000000"/>
          <w:spacing w:val="-2"/>
          <w:sz w:val="22"/>
          <w:szCs w:val="22"/>
        </w:rPr>
        <w:t>§</w:t>
      </w:r>
      <w:r w:rsidR="004F2D04" w:rsidRPr="008A1BE7">
        <w:rPr>
          <w:rFonts w:ascii="Garamond" w:hAnsi="Garamond"/>
          <w:color w:val="000000"/>
          <w:spacing w:val="-2"/>
          <w:sz w:val="22"/>
          <w:szCs w:val="22"/>
        </w:rPr>
        <w:t xml:space="preserve"> (1)</w:t>
      </w:r>
      <w:r w:rsidR="00436C35" w:rsidRPr="008A1BE7">
        <w:rPr>
          <w:rFonts w:ascii="Garamond" w:hAnsi="Garamond"/>
          <w:color w:val="000000"/>
          <w:spacing w:val="-2"/>
          <w:sz w:val="22"/>
          <w:szCs w:val="22"/>
        </w:rPr>
        <w:t>-(3</w:t>
      </w:r>
      <w:r w:rsidR="004F2D04" w:rsidRPr="008A1BE7">
        <w:rPr>
          <w:rFonts w:ascii="Garamond" w:hAnsi="Garamond"/>
          <w:color w:val="000000"/>
          <w:spacing w:val="-2"/>
          <w:sz w:val="22"/>
          <w:szCs w:val="22"/>
        </w:rPr>
        <w:t>) bekezdése helyébe az alábbi rendelkezés</w:t>
      </w:r>
      <w:r w:rsidR="008A1BE7">
        <w:rPr>
          <w:rFonts w:ascii="Garamond" w:hAnsi="Garamond"/>
          <w:color w:val="000000"/>
          <w:spacing w:val="-2"/>
          <w:sz w:val="22"/>
          <w:szCs w:val="22"/>
        </w:rPr>
        <w:t>ek</w:t>
      </w:r>
      <w:r w:rsidR="004F2D04" w:rsidRPr="008A1BE7">
        <w:rPr>
          <w:rFonts w:ascii="Garamond" w:hAnsi="Garamond"/>
          <w:color w:val="000000"/>
          <w:spacing w:val="-2"/>
          <w:sz w:val="22"/>
          <w:szCs w:val="22"/>
        </w:rPr>
        <w:t xml:space="preserve"> lép</w:t>
      </w:r>
      <w:r w:rsidR="008A1BE7">
        <w:rPr>
          <w:rFonts w:ascii="Garamond" w:hAnsi="Garamond"/>
          <w:color w:val="000000"/>
          <w:spacing w:val="-2"/>
          <w:sz w:val="22"/>
          <w:szCs w:val="22"/>
        </w:rPr>
        <w:t>nek</w:t>
      </w:r>
      <w:r w:rsidR="004F2D04" w:rsidRPr="008A1BE7">
        <w:rPr>
          <w:rFonts w:ascii="Garamond" w:hAnsi="Garamond"/>
          <w:color w:val="000000"/>
          <w:spacing w:val="-2"/>
          <w:sz w:val="22"/>
          <w:szCs w:val="22"/>
        </w:rPr>
        <w:t>:</w:t>
      </w:r>
    </w:p>
    <w:p w:rsidR="004F2D04" w:rsidRPr="008A1BE7" w:rsidRDefault="004F2D04" w:rsidP="006557DA">
      <w:pPr>
        <w:tabs>
          <w:tab w:val="left" w:pos="851"/>
        </w:tabs>
        <w:jc w:val="both"/>
        <w:rPr>
          <w:rFonts w:ascii="Garamond" w:hAnsi="Garamond"/>
          <w:color w:val="000000"/>
          <w:spacing w:val="-2"/>
          <w:sz w:val="22"/>
          <w:szCs w:val="22"/>
        </w:rPr>
      </w:pPr>
    </w:p>
    <w:p w:rsidR="004F2D04" w:rsidRPr="008A1BE7" w:rsidRDefault="004F2D04" w:rsidP="004F2D04">
      <w:pPr>
        <w:tabs>
          <w:tab w:val="left" w:pos="426"/>
        </w:tabs>
        <w:ind w:left="284" w:hanging="284"/>
        <w:jc w:val="both"/>
        <w:rPr>
          <w:rFonts w:ascii="Garamond" w:hAnsi="Garamond"/>
          <w:i/>
          <w:color w:val="000000"/>
          <w:spacing w:val="-2"/>
          <w:sz w:val="22"/>
          <w:szCs w:val="22"/>
        </w:rPr>
      </w:pPr>
      <w:r w:rsidRPr="008A1BE7">
        <w:rPr>
          <w:rFonts w:ascii="Garamond" w:hAnsi="Garamond"/>
          <w:i/>
          <w:color w:val="000000"/>
          <w:spacing w:val="-2"/>
          <w:sz w:val="22"/>
          <w:szCs w:val="22"/>
        </w:rPr>
        <w:t>(1)</w:t>
      </w:r>
      <w:r w:rsidRPr="008A1BE7">
        <w:rPr>
          <w:rFonts w:ascii="Garamond" w:hAnsi="Garamond"/>
          <w:i/>
          <w:color w:val="000000"/>
          <w:spacing w:val="-2"/>
          <w:sz w:val="22"/>
          <w:szCs w:val="22"/>
        </w:rPr>
        <w:tab/>
      </w:r>
      <w:r w:rsidRPr="008A1BE7">
        <w:rPr>
          <w:rFonts w:ascii="Garamond" w:hAnsi="Garamond"/>
          <w:i/>
          <w:color w:val="000000"/>
          <w:spacing w:val="-2"/>
          <w:sz w:val="22"/>
          <w:szCs w:val="22"/>
        </w:rPr>
        <w:tab/>
        <w:t>Közösségi együttélés alapvető szabályait sértő magatartást követ el, aki a csapadékvizet szennyvízcsatornába vezeti.</w:t>
      </w:r>
    </w:p>
    <w:p w:rsidR="004F2D04" w:rsidRPr="008A1BE7" w:rsidRDefault="004F2D04" w:rsidP="004F2D04">
      <w:pPr>
        <w:tabs>
          <w:tab w:val="left" w:pos="426"/>
        </w:tabs>
        <w:ind w:left="284" w:hanging="284"/>
        <w:jc w:val="both"/>
        <w:rPr>
          <w:rFonts w:ascii="Garamond" w:hAnsi="Garamond"/>
          <w:i/>
          <w:color w:val="000000"/>
          <w:spacing w:val="-2"/>
          <w:sz w:val="22"/>
          <w:szCs w:val="22"/>
        </w:rPr>
      </w:pPr>
      <w:r w:rsidRPr="008A1BE7">
        <w:rPr>
          <w:rFonts w:ascii="Garamond" w:hAnsi="Garamond"/>
          <w:i/>
          <w:color w:val="000000"/>
          <w:spacing w:val="-2"/>
          <w:sz w:val="22"/>
          <w:szCs w:val="22"/>
        </w:rPr>
        <w:t>(2)</w:t>
      </w:r>
      <w:r w:rsidRPr="008A1BE7">
        <w:rPr>
          <w:rFonts w:ascii="Garamond" w:hAnsi="Garamond"/>
          <w:i/>
          <w:color w:val="000000"/>
          <w:spacing w:val="-2"/>
          <w:sz w:val="22"/>
          <w:szCs w:val="22"/>
        </w:rPr>
        <w:tab/>
      </w:r>
      <w:r w:rsidRPr="008A1BE7">
        <w:rPr>
          <w:rFonts w:ascii="Garamond" w:hAnsi="Garamond"/>
          <w:i/>
          <w:color w:val="000000"/>
          <w:spacing w:val="-2"/>
          <w:sz w:val="22"/>
          <w:szCs w:val="22"/>
        </w:rPr>
        <w:tab/>
        <w:t>Közösségi együttélés alapvető szabályait sértő magatartást követ el, aki a csapadékvíz elvezető és szikkasztó árkot nem tartja tisztán, eldugulás vagy rongálódás okozására alkalmas anyagot a csapadékvíz elvezető árokba szór, beleönt, belevezet, azt részben vagy egészben feltölti.</w:t>
      </w:r>
    </w:p>
    <w:p w:rsidR="00346FD0" w:rsidRPr="008A1BE7" w:rsidRDefault="00436C35" w:rsidP="00346FD0">
      <w:pPr>
        <w:tabs>
          <w:tab w:val="left" w:pos="426"/>
        </w:tabs>
        <w:ind w:left="284" w:hanging="284"/>
        <w:jc w:val="both"/>
        <w:rPr>
          <w:rFonts w:ascii="Garamond" w:hAnsi="Garamond"/>
          <w:i/>
          <w:color w:val="000000"/>
          <w:spacing w:val="-2"/>
          <w:sz w:val="22"/>
          <w:szCs w:val="22"/>
        </w:rPr>
      </w:pPr>
      <w:r w:rsidRPr="008A1BE7">
        <w:rPr>
          <w:rFonts w:ascii="Garamond" w:hAnsi="Garamond"/>
          <w:i/>
          <w:color w:val="000000"/>
          <w:spacing w:val="-2"/>
          <w:sz w:val="22"/>
          <w:szCs w:val="22"/>
        </w:rPr>
        <w:t>(3)</w:t>
      </w:r>
      <w:r w:rsidRPr="008A1BE7">
        <w:rPr>
          <w:rFonts w:ascii="Garamond" w:hAnsi="Garamond"/>
          <w:i/>
          <w:color w:val="000000"/>
          <w:spacing w:val="-2"/>
          <w:sz w:val="22"/>
          <w:szCs w:val="22"/>
        </w:rPr>
        <w:tab/>
      </w:r>
      <w:r w:rsidRPr="008A1BE7">
        <w:rPr>
          <w:rFonts w:ascii="Garamond" w:hAnsi="Garamond"/>
          <w:i/>
          <w:color w:val="000000"/>
          <w:spacing w:val="-2"/>
          <w:sz w:val="22"/>
          <w:szCs w:val="22"/>
        </w:rPr>
        <w:tab/>
        <w:t>Közösségi együttélés alapvető szabályait sértő magatartást követ el, aki közterületen járművet mos, olajcserét vagy olyan tevékenységet végez, amely szennyeződést okoz.</w:t>
      </w:r>
    </w:p>
    <w:p w:rsidR="00346FD0" w:rsidRPr="008A1BE7" w:rsidRDefault="00346FD0" w:rsidP="006557DA">
      <w:pPr>
        <w:tabs>
          <w:tab w:val="left" w:pos="851"/>
        </w:tabs>
        <w:jc w:val="both"/>
        <w:rPr>
          <w:rFonts w:ascii="Garamond" w:hAnsi="Garamond"/>
          <w:color w:val="000000"/>
          <w:spacing w:val="-2"/>
          <w:sz w:val="22"/>
          <w:szCs w:val="22"/>
        </w:rPr>
      </w:pPr>
    </w:p>
    <w:p w:rsidR="00436C35" w:rsidRPr="008A1BE7" w:rsidRDefault="007B533A" w:rsidP="008A1BE7">
      <w:pPr>
        <w:tabs>
          <w:tab w:val="left" w:pos="851"/>
        </w:tabs>
        <w:ind w:left="851" w:hanging="851"/>
        <w:jc w:val="both"/>
        <w:rPr>
          <w:rFonts w:ascii="Garamond" w:hAnsi="Garamond"/>
          <w:color w:val="000000"/>
          <w:spacing w:val="-2"/>
          <w:sz w:val="22"/>
          <w:szCs w:val="22"/>
        </w:rPr>
      </w:pPr>
      <w:r w:rsidRPr="008A1BE7">
        <w:rPr>
          <w:rFonts w:ascii="Garamond" w:hAnsi="Garamond"/>
          <w:b/>
          <w:color w:val="000000"/>
          <w:spacing w:val="-2"/>
          <w:sz w:val="22"/>
          <w:szCs w:val="22"/>
        </w:rPr>
        <w:t>2. §</w:t>
      </w:r>
      <w:r w:rsidRPr="008A1BE7">
        <w:rPr>
          <w:rFonts w:ascii="Garamond" w:hAnsi="Garamond"/>
          <w:color w:val="000000"/>
          <w:spacing w:val="-2"/>
          <w:sz w:val="22"/>
          <w:szCs w:val="22"/>
        </w:rPr>
        <w:tab/>
        <w:t xml:space="preserve">Az </w:t>
      </w:r>
      <w:proofErr w:type="spellStart"/>
      <w:r w:rsidRPr="008A1BE7">
        <w:rPr>
          <w:rFonts w:ascii="Garamond" w:hAnsi="Garamond"/>
          <w:color w:val="000000"/>
          <w:spacing w:val="-2"/>
          <w:sz w:val="22"/>
          <w:szCs w:val="22"/>
        </w:rPr>
        <w:t>Ör</w:t>
      </w:r>
      <w:proofErr w:type="spellEnd"/>
      <w:r w:rsidRPr="008A1BE7">
        <w:rPr>
          <w:rFonts w:ascii="Garamond" w:hAnsi="Garamond"/>
          <w:color w:val="000000"/>
          <w:spacing w:val="-2"/>
          <w:sz w:val="22"/>
          <w:szCs w:val="22"/>
        </w:rPr>
        <w:t xml:space="preserve">. rendelet 7. § (1) bekezdés </w:t>
      </w:r>
      <w:r w:rsidR="00436C35" w:rsidRPr="008A1BE7">
        <w:rPr>
          <w:rFonts w:ascii="Garamond" w:hAnsi="Garamond"/>
          <w:color w:val="000000"/>
          <w:spacing w:val="-2"/>
          <w:sz w:val="22"/>
          <w:szCs w:val="22"/>
        </w:rPr>
        <w:t xml:space="preserve">i) pontjában lévő „a köz- </w:t>
      </w:r>
      <w:r w:rsidR="008A1BE7">
        <w:rPr>
          <w:rFonts w:ascii="Garamond" w:hAnsi="Garamond"/>
          <w:color w:val="000000"/>
          <w:spacing w:val="-2"/>
          <w:sz w:val="22"/>
          <w:szCs w:val="22"/>
        </w:rPr>
        <w:t>vagy magánterület” szövegrész helyébe a „</w:t>
      </w:r>
      <w:r w:rsidR="008A1BE7" w:rsidRPr="008A1BE7">
        <w:rPr>
          <w:rFonts w:ascii="Garamond" w:hAnsi="Garamond"/>
          <w:i/>
          <w:color w:val="000000"/>
          <w:spacing w:val="-2"/>
          <w:sz w:val="22"/>
          <w:szCs w:val="22"/>
        </w:rPr>
        <w:t>a magánterület</w:t>
      </w:r>
      <w:r w:rsidR="008A1BE7">
        <w:rPr>
          <w:rFonts w:ascii="Garamond" w:hAnsi="Garamond"/>
          <w:i/>
          <w:color w:val="000000"/>
          <w:spacing w:val="-2"/>
          <w:sz w:val="22"/>
          <w:szCs w:val="22"/>
        </w:rPr>
        <w:t>”</w:t>
      </w:r>
      <w:r w:rsidR="008A1BE7">
        <w:rPr>
          <w:rFonts w:ascii="Garamond" w:hAnsi="Garamond"/>
          <w:color w:val="000000"/>
          <w:spacing w:val="-2"/>
          <w:sz w:val="22"/>
          <w:szCs w:val="22"/>
        </w:rPr>
        <w:t xml:space="preserve"> szövegrész lép.</w:t>
      </w:r>
    </w:p>
    <w:p w:rsidR="007B533A" w:rsidRPr="008A1BE7" w:rsidRDefault="007B533A" w:rsidP="006557DA">
      <w:pPr>
        <w:tabs>
          <w:tab w:val="left" w:pos="851"/>
        </w:tabs>
        <w:jc w:val="both"/>
        <w:rPr>
          <w:rFonts w:ascii="Garamond" w:hAnsi="Garamond"/>
          <w:color w:val="000000"/>
          <w:spacing w:val="-2"/>
          <w:sz w:val="22"/>
          <w:szCs w:val="22"/>
        </w:rPr>
      </w:pPr>
    </w:p>
    <w:p w:rsidR="00346FD0" w:rsidRPr="008A1BE7" w:rsidRDefault="00346FD0" w:rsidP="006557DA">
      <w:pPr>
        <w:tabs>
          <w:tab w:val="left" w:pos="851"/>
        </w:tabs>
        <w:jc w:val="both"/>
        <w:rPr>
          <w:rFonts w:ascii="Garamond" w:hAnsi="Garamond"/>
          <w:color w:val="000000"/>
          <w:spacing w:val="-2"/>
          <w:sz w:val="22"/>
          <w:szCs w:val="22"/>
        </w:rPr>
      </w:pPr>
      <w:r w:rsidRPr="008A1BE7">
        <w:rPr>
          <w:rFonts w:ascii="Garamond" w:hAnsi="Garamond"/>
          <w:b/>
          <w:color w:val="000000"/>
          <w:spacing w:val="-2"/>
          <w:sz w:val="22"/>
          <w:szCs w:val="22"/>
        </w:rPr>
        <w:t xml:space="preserve">3. § </w:t>
      </w:r>
      <w:r w:rsidRPr="008A1BE7">
        <w:rPr>
          <w:rFonts w:ascii="Garamond" w:hAnsi="Garamond"/>
          <w:b/>
          <w:color w:val="000000"/>
          <w:spacing w:val="-2"/>
          <w:sz w:val="22"/>
          <w:szCs w:val="22"/>
        </w:rPr>
        <w:tab/>
      </w:r>
      <w:r w:rsidRPr="008A1BE7">
        <w:rPr>
          <w:rFonts w:ascii="Garamond" w:hAnsi="Garamond"/>
          <w:color w:val="000000"/>
          <w:spacing w:val="-2"/>
          <w:sz w:val="22"/>
          <w:szCs w:val="22"/>
        </w:rPr>
        <w:t xml:space="preserve">Az </w:t>
      </w:r>
      <w:proofErr w:type="spellStart"/>
      <w:r w:rsidRPr="008A1BE7">
        <w:rPr>
          <w:rFonts w:ascii="Garamond" w:hAnsi="Garamond"/>
          <w:color w:val="000000"/>
          <w:spacing w:val="-2"/>
          <w:sz w:val="22"/>
          <w:szCs w:val="22"/>
        </w:rPr>
        <w:t>Ör</w:t>
      </w:r>
      <w:proofErr w:type="spellEnd"/>
      <w:r w:rsidRPr="008A1BE7">
        <w:rPr>
          <w:rFonts w:ascii="Garamond" w:hAnsi="Garamond"/>
          <w:color w:val="000000"/>
          <w:spacing w:val="-2"/>
          <w:sz w:val="22"/>
          <w:szCs w:val="22"/>
        </w:rPr>
        <w:t>. rendelet a következő 10. §</w:t>
      </w:r>
      <w:proofErr w:type="spellStart"/>
      <w:r w:rsidR="008A1BE7">
        <w:rPr>
          <w:rFonts w:ascii="Garamond" w:hAnsi="Garamond"/>
          <w:color w:val="000000"/>
          <w:spacing w:val="-2"/>
          <w:sz w:val="22"/>
          <w:szCs w:val="22"/>
        </w:rPr>
        <w:t>-al</w:t>
      </w:r>
      <w:proofErr w:type="spellEnd"/>
      <w:r w:rsidRPr="008A1BE7">
        <w:rPr>
          <w:rFonts w:ascii="Garamond" w:hAnsi="Garamond"/>
          <w:color w:val="000000"/>
          <w:spacing w:val="-2"/>
          <w:sz w:val="22"/>
          <w:szCs w:val="22"/>
        </w:rPr>
        <w:t xml:space="preserve"> egészül ki:</w:t>
      </w:r>
    </w:p>
    <w:p w:rsidR="00346FD0" w:rsidRPr="008A1BE7" w:rsidRDefault="00346FD0" w:rsidP="006557DA">
      <w:pPr>
        <w:tabs>
          <w:tab w:val="left" w:pos="851"/>
        </w:tabs>
        <w:jc w:val="both"/>
        <w:rPr>
          <w:rFonts w:ascii="Garamond" w:hAnsi="Garamond"/>
          <w:color w:val="000000"/>
          <w:spacing w:val="-2"/>
          <w:sz w:val="22"/>
          <w:szCs w:val="22"/>
        </w:rPr>
      </w:pPr>
    </w:p>
    <w:p w:rsidR="00346FD0" w:rsidRPr="008A1BE7" w:rsidRDefault="008A1BE7" w:rsidP="00346FD0">
      <w:pPr>
        <w:tabs>
          <w:tab w:val="left" w:pos="851"/>
        </w:tabs>
        <w:ind w:left="567" w:hanging="567"/>
        <w:jc w:val="both"/>
        <w:rPr>
          <w:rFonts w:ascii="Garamond" w:hAnsi="Garamond"/>
          <w:color w:val="000000"/>
          <w:spacing w:val="-2"/>
          <w:sz w:val="22"/>
          <w:szCs w:val="22"/>
        </w:rPr>
      </w:pPr>
      <w:r>
        <w:rPr>
          <w:rFonts w:ascii="Garamond" w:hAnsi="Garamond"/>
          <w:color w:val="000000"/>
          <w:spacing w:val="-2"/>
          <w:sz w:val="22"/>
          <w:szCs w:val="22"/>
        </w:rPr>
        <w:t>„</w:t>
      </w:r>
      <w:r w:rsidR="00346FD0" w:rsidRPr="008A1BE7">
        <w:rPr>
          <w:rFonts w:ascii="Garamond" w:hAnsi="Garamond"/>
          <w:color w:val="000000"/>
          <w:spacing w:val="-2"/>
          <w:sz w:val="22"/>
          <w:szCs w:val="22"/>
        </w:rPr>
        <w:t>10.§</w:t>
      </w:r>
      <w:r w:rsidR="00346FD0" w:rsidRPr="008A1BE7">
        <w:rPr>
          <w:rFonts w:ascii="Garamond" w:hAnsi="Garamond"/>
          <w:color w:val="000000"/>
          <w:spacing w:val="-2"/>
          <w:sz w:val="22"/>
          <w:szCs w:val="22"/>
        </w:rPr>
        <w:tab/>
      </w:r>
      <w:r w:rsidR="00346FD0" w:rsidRPr="008A1BE7">
        <w:rPr>
          <w:rFonts w:ascii="Garamond" w:hAnsi="Garamond"/>
          <w:color w:val="000000"/>
          <w:spacing w:val="-2"/>
          <w:sz w:val="22"/>
          <w:szCs w:val="22"/>
        </w:rPr>
        <w:tab/>
      </w:r>
      <w:r w:rsidR="00346FD0" w:rsidRPr="008A1BE7">
        <w:rPr>
          <w:rFonts w:ascii="Garamond" w:hAnsi="Garamond"/>
          <w:i/>
          <w:color w:val="000000"/>
          <w:spacing w:val="-2"/>
          <w:sz w:val="22"/>
          <w:szCs w:val="22"/>
        </w:rPr>
        <w:t>Közösségi együttélés alapvető szabályait sértő magatartást követ el</w:t>
      </w:r>
      <w:r>
        <w:rPr>
          <w:rFonts w:ascii="Garamond" w:hAnsi="Garamond"/>
          <w:i/>
          <w:color w:val="000000"/>
          <w:spacing w:val="-2"/>
          <w:sz w:val="22"/>
          <w:szCs w:val="22"/>
        </w:rPr>
        <w:t>, aki</w:t>
      </w:r>
      <w:r w:rsidR="00346FD0" w:rsidRPr="008A1BE7">
        <w:rPr>
          <w:rFonts w:ascii="Garamond" w:hAnsi="Garamond"/>
          <w:i/>
          <w:color w:val="000000"/>
          <w:spacing w:val="-2"/>
          <w:sz w:val="22"/>
          <w:szCs w:val="22"/>
        </w:rPr>
        <w:t xml:space="preserve"> avart, kerti és egyéb hulladékot magántulajdonú területen, vagy közterületen éget, kivéve a gyümölcs és egyéb fa egyes részeinek egészségügyi, növényvédelmi metszéséből származó hulladék</w:t>
      </w:r>
      <w:r>
        <w:rPr>
          <w:rFonts w:ascii="Garamond" w:hAnsi="Garamond"/>
          <w:i/>
          <w:color w:val="000000"/>
          <w:spacing w:val="-2"/>
          <w:sz w:val="22"/>
          <w:szCs w:val="22"/>
        </w:rPr>
        <w:t xml:space="preserve"> égetését</w:t>
      </w:r>
      <w:r w:rsidR="00DF5881" w:rsidRPr="008A1BE7">
        <w:rPr>
          <w:rFonts w:ascii="Garamond" w:hAnsi="Garamond"/>
          <w:i/>
          <w:color w:val="000000"/>
          <w:spacing w:val="-2"/>
          <w:sz w:val="22"/>
          <w:szCs w:val="22"/>
        </w:rPr>
        <w:t>, mely során a környezet terhelése a külön jogszabályban meghatározott mértéket nem ha</w:t>
      </w:r>
      <w:r>
        <w:rPr>
          <w:rFonts w:ascii="Garamond" w:hAnsi="Garamond"/>
          <w:i/>
          <w:color w:val="000000"/>
          <w:spacing w:val="-2"/>
          <w:sz w:val="22"/>
          <w:szCs w:val="22"/>
        </w:rPr>
        <w:t>ladja meg.”</w:t>
      </w:r>
    </w:p>
    <w:p w:rsidR="00346FD0" w:rsidRPr="008A1BE7" w:rsidRDefault="00346FD0" w:rsidP="006557DA">
      <w:pPr>
        <w:tabs>
          <w:tab w:val="left" w:pos="851"/>
        </w:tabs>
        <w:jc w:val="both"/>
        <w:rPr>
          <w:rFonts w:ascii="Garamond" w:hAnsi="Garamond"/>
          <w:color w:val="000000"/>
          <w:spacing w:val="-2"/>
          <w:sz w:val="22"/>
          <w:szCs w:val="22"/>
        </w:rPr>
      </w:pPr>
    </w:p>
    <w:p w:rsidR="004F2D04" w:rsidRPr="008A1BE7" w:rsidRDefault="00346FD0" w:rsidP="006557DA">
      <w:pPr>
        <w:tabs>
          <w:tab w:val="left" w:pos="851"/>
        </w:tabs>
        <w:jc w:val="both"/>
        <w:rPr>
          <w:rFonts w:ascii="Garamond" w:hAnsi="Garamond"/>
          <w:color w:val="000000"/>
          <w:spacing w:val="-2"/>
          <w:sz w:val="22"/>
          <w:szCs w:val="22"/>
        </w:rPr>
      </w:pPr>
      <w:r w:rsidRPr="008A1BE7">
        <w:rPr>
          <w:rFonts w:ascii="Garamond" w:hAnsi="Garamond"/>
          <w:b/>
          <w:color w:val="000000"/>
          <w:spacing w:val="-2"/>
          <w:sz w:val="22"/>
          <w:szCs w:val="22"/>
        </w:rPr>
        <w:t>4</w:t>
      </w:r>
      <w:r w:rsidR="004F2D04" w:rsidRPr="008A1BE7">
        <w:rPr>
          <w:rFonts w:ascii="Garamond" w:hAnsi="Garamond"/>
          <w:b/>
          <w:color w:val="000000"/>
          <w:spacing w:val="-2"/>
          <w:sz w:val="22"/>
          <w:szCs w:val="22"/>
        </w:rPr>
        <w:t>. §</w:t>
      </w:r>
      <w:r w:rsidR="004F2D04" w:rsidRPr="008A1BE7">
        <w:rPr>
          <w:rFonts w:ascii="Garamond" w:hAnsi="Garamond"/>
          <w:color w:val="000000"/>
          <w:spacing w:val="-2"/>
          <w:sz w:val="22"/>
          <w:szCs w:val="22"/>
        </w:rPr>
        <w:tab/>
        <w:t>Hatályát veszti:</w:t>
      </w:r>
    </w:p>
    <w:p w:rsidR="006557DA" w:rsidRPr="008A1BE7" w:rsidRDefault="006557DA" w:rsidP="006557DA">
      <w:pPr>
        <w:tabs>
          <w:tab w:val="left" w:pos="1701"/>
        </w:tabs>
        <w:jc w:val="both"/>
        <w:rPr>
          <w:rFonts w:ascii="Garamond" w:hAnsi="Garamond"/>
          <w:noProof/>
          <w:sz w:val="22"/>
          <w:szCs w:val="22"/>
        </w:rPr>
      </w:pPr>
    </w:p>
    <w:p w:rsidR="007B533A" w:rsidRPr="007A7CDF" w:rsidRDefault="006557DA" w:rsidP="008A1BE7">
      <w:pPr>
        <w:pStyle w:val="JogtrNormlTrzs"/>
        <w:numPr>
          <w:ilvl w:val="0"/>
          <w:numId w:val="7"/>
        </w:numPr>
        <w:tabs>
          <w:tab w:val="left" w:pos="426"/>
        </w:tabs>
        <w:spacing w:before="0"/>
        <w:rPr>
          <w:rFonts w:ascii="Garamond" w:hAnsi="Garamond"/>
          <w:i/>
          <w:sz w:val="22"/>
          <w:szCs w:val="22"/>
        </w:rPr>
      </w:pPr>
      <w:r w:rsidRPr="007A7CDF">
        <w:rPr>
          <w:rFonts w:ascii="Garamond" w:hAnsi="Garamond"/>
          <w:i/>
          <w:sz w:val="22"/>
          <w:szCs w:val="22"/>
        </w:rPr>
        <w:t>Az</w:t>
      </w:r>
      <w:r w:rsidR="007B533A" w:rsidRPr="007A7CDF">
        <w:rPr>
          <w:rFonts w:ascii="Garamond" w:hAnsi="Garamond"/>
          <w:i/>
          <w:sz w:val="22"/>
          <w:szCs w:val="22"/>
        </w:rPr>
        <w:t xml:space="preserve"> Ör. 7. § (1) bekezdés d</w:t>
      </w:r>
      <w:r w:rsidR="008A1BE7" w:rsidRPr="007A7CDF">
        <w:rPr>
          <w:rFonts w:ascii="Garamond" w:hAnsi="Garamond"/>
          <w:i/>
          <w:sz w:val="22"/>
          <w:szCs w:val="22"/>
        </w:rPr>
        <w:t>)</w:t>
      </w:r>
      <w:r w:rsidR="00CA2D98" w:rsidRPr="007A7CDF">
        <w:rPr>
          <w:rFonts w:ascii="Garamond" w:hAnsi="Garamond"/>
          <w:i/>
          <w:sz w:val="22"/>
          <w:szCs w:val="22"/>
        </w:rPr>
        <w:t xml:space="preserve"> és</w:t>
      </w:r>
      <w:r w:rsidR="008A1BE7" w:rsidRPr="007A7CDF">
        <w:rPr>
          <w:rFonts w:ascii="Garamond" w:hAnsi="Garamond"/>
          <w:i/>
          <w:sz w:val="22"/>
          <w:szCs w:val="22"/>
        </w:rPr>
        <w:t xml:space="preserve"> h)</w:t>
      </w:r>
      <w:r w:rsidR="007B533A" w:rsidRPr="007A7CDF">
        <w:rPr>
          <w:rFonts w:ascii="Garamond" w:hAnsi="Garamond"/>
          <w:i/>
          <w:sz w:val="22"/>
          <w:szCs w:val="22"/>
        </w:rPr>
        <w:t xml:space="preserve"> pontja.</w:t>
      </w:r>
    </w:p>
    <w:p w:rsidR="00436C35" w:rsidRPr="007A7CDF" w:rsidRDefault="00436C35" w:rsidP="008A1BE7">
      <w:pPr>
        <w:pStyle w:val="JogtrNormlTrzs"/>
        <w:numPr>
          <w:ilvl w:val="0"/>
          <w:numId w:val="7"/>
        </w:numPr>
        <w:tabs>
          <w:tab w:val="left" w:pos="426"/>
        </w:tabs>
        <w:spacing w:before="0"/>
        <w:rPr>
          <w:rFonts w:ascii="Garamond" w:hAnsi="Garamond"/>
          <w:i/>
          <w:sz w:val="22"/>
          <w:szCs w:val="22"/>
        </w:rPr>
      </w:pPr>
      <w:r w:rsidRPr="007A7CDF">
        <w:rPr>
          <w:rFonts w:ascii="Garamond" w:hAnsi="Garamond"/>
          <w:i/>
          <w:sz w:val="22"/>
          <w:szCs w:val="22"/>
        </w:rPr>
        <w:t xml:space="preserve">Az Ör. 10. § </w:t>
      </w:r>
      <w:r w:rsidR="00DF5881" w:rsidRPr="007A7CDF">
        <w:rPr>
          <w:rFonts w:ascii="Garamond" w:hAnsi="Garamond"/>
          <w:i/>
          <w:sz w:val="22"/>
          <w:szCs w:val="22"/>
        </w:rPr>
        <w:t>(1)-</w:t>
      </w:r>
      <w:r w:rsidRPr="007A7CDF">
        <w:rPr>
          <w:rFonts w:ascii="Garamond" w:hAnsi="Garamond"/>
          <w:i/>
          <w:sz w:val="22"/>
          <w:szCs w:val="22"/>
        </w:rPr>
        <w:t>(2) bekezdése.</w:t>
      </w:r>
    </w:p>
    <w:p w:rsidR="00436C35" w:rsidRPr="007A7CDF" w:rsidRDefault="00436C35" w:rsidP="008A1BE7">
      <w:pPr>
        <w:pStyle w:val="JogtrNormlTrzs"/>
        <w:numPr>
          <w:ilvl w:val="0"/>
          <w:numId w:val="7"/>
        </w:numPr>
        <w:tabs>
          <w:tab w:val="left" w:pos="426"/>
        </w:tabs>
        <w:spacing w:before="0"/>
        <w:rPr>
          <w:rFonts w:ascii="Garamond" w:hAnsi="Garamond"/>
          <w:i/>
          <w:sz w:val="22"/>
          <w:szCs w:val="22"/>
        </w:rPr>
      </w:pPr>
      <w:r w:rsidRPr="007A7CDF">
        <w:rPr>
          <w:rFonts w:ascii="Garamond" w:hAnsi="Garamond"/>
          <w:i/>
          <w:sz w:val="22"/>
          <w:szCs w:val="22"/>
        </w:rPr>
        <w:t>Az Ör. 12. §</w:t>
      </w:r>
      <w:r w:rsidR="00CA2D98" w:rsidRPr="007A7CDF">
        <w:rPr>
          <w:rFonts w:ascii="Garamond" w:hAnsi="Garamond"/>
          <w:i/>
          <w:sz w:val="22"/>
          <w:szCs w:val="22"/>
        </w:rPr>
        <w:t xml:space="preserve"> (3)-(4) bekezdései.</w:t>
      </w:r>
    </w:p>
    <w:p w:rsidR="00CA2D98" w:rsidRPr="007A7CDF" w:rsidRDefault="00CA2D98" w:rsidP="008A1BE7">
      <w:pPr>
        <w:pStyle w:val="JogtrNormlTrzs"/>
        <w:numPr>
          <w:ilvl w:val="0"/>
          <w:numId w:val="7"/>
        </w:numPr>
        <w:tabs>
          <w:tab w:val="left" w:pos="426"/>
        </w:tabs>
        <w:spacing w:before="0"/>
        <w:rPr>
          <w:rFonts w:ascii="Garamond" w:hAnsi="Garamond"/>
          <w:i/>
          <w:sz w:val="22"/>
          <w:szCs w:val="22"/>
        </w:rPr>
      </w:pPr>
      <w:r w:rsidRPr="007A7CDF">
        <w:rPr>
          <w:rFonts w:ascii="Garamond" w:hAnsi="Garamond"/>
          <w:i/>
          <w:sz w:val="22"/>
          <w:szCs w:val="22"/>
        </w:rPr>
        <w:t>Az Ör. 14. §-a.</w:t>
      </w:r>
    </w:p>
    <w:p w:rsidR="00CA2D98" w:rsidRPr="008A1BE7" w:rsidRDefault="00CA2D98" w:rsidP="008A1BE7">
      <w:pPr>
        <w:pStyle w:val="JogtrNormlTrzs"/>
        <w:numPr>
          <w:ilvl w:val="0"/>
          <w:numId w:val="7"/>
        </w:numPr>
        <w:tabs>
          <w:tab w:val="left" w:pos="426"/>
        </w:tabs>
        <w:spacing w:before="0"/>
        <w:rPr>
          <w:rFonts w:ascii="Garamond" w:hAnsi="Garamond"/>
          <w:sz w:val="22"/>
          <w:szCs w:val="22"/>
        </w:rPr>
      </w:pPr>
      <w:r w:rsidRPr="007A7CDF">
        <w:rPr>
          <w:rFonts w:ascii="Garamond" w:hAnsi="Garamond"/>
          <w:i/>
          <w:sz w:val="22"/>
          <w:szCs w:val="22"/>
        </w:rPr>
        <w:t>Az Ör. 16. § (1)-(3) bekezdései</w:t>
      </w:r>
      <w:r w:rsidRPr="008A1BE7">
        <w:rPr>
          <w:rFonts w:ascii="Garamond" w:hAnsi="Garamond"/>
          <w:sz w:val="22"/>
          <w:szCs w:val="22"/>
        </w:rPr>
        <w:t>.</w:t>
      </w:r>
    </w:p>
    <w:p w:rsidR="006557DA" w:rsidRPr="008A1BE7" w:rsidRDefault="006557DA" w:rsidP="006557DA">
      <w:pPr>
        <w:pStyle w:val="JogtrNormlTrzs"/>
        <w:spacing w:before="0"/>
        <w:ind w:left="851"/>
        <w:rPr>
          <w:rFonts w:ascii="Garamond" w:hAnsi="Garamond"/>
          <w:i/>
          <w:sz w:val="22"/>
          <w:szCs w:val="22"/>
        </w:rPr>
      </w:pPr>
    </w:p>
    <w:p w:rsidR="00DF5881" w:rsidRPr="008A1BE7" w:rsidRDefault="00DF5881" w:rsidP="006557DA">
      <w:pPr>
        <w:pStyle w:val="JogtrNormlTrzs"/>
        <w:spacing w:before="0"/>
        <w:ind w:left="851"/>
        <w:rPr>
          <w:rFonts w:ascii="Garamond" w:hAnsi="Garamond"/>
          <w:i/>
          <w:sz w:val="22"/>
          <w:szCs w:val="22"/>
        </w:rPr>
      </w:pPr>
    </w:p>
    <w:p w:rsidR="00DF5881" w:rsidRPr="008A1BE7" w:rsidRDefault="00DF5881" w:rsidP="006557DA">
      <w:pPr>
        <w:pStyle w:val="JogtrNormlTrzs"/>
        <w:spacing w:before="0"/>
        <w:ind w:left="851"/>
        <w:rPr>
          <w:rFonts w:ascii="Garamond" w:hAnsi="Garamond"/>
          <w:i/>
          <w:sz w:val="22"/>
          <w:szCs w:val="22"/>
        </w:rPr>
      </w:pPr>
    </w:p>
    <w:p w:rsidR="00DF5881" w:rsidRPr="008A1BE7" w:rsidRDefault="00DF5881" w:rsidP="006557DA">
      <w:pPr>
        <w:pStyle w:val="JogtrNormlTrzs"/>
        <w:spacing w:before="0"/>
        <w:ind w:left="851"/>
        <w:rPr>
          <w:rFonts w:ascii="Garamond" w:hAnsi="Garamond"/>
          <w:i/>
          <w:sz w:val="22"/>
          <w:szCs w:val="22"/>
        </w:rPr>
      </w:pPr>
    </w:p>
    <w:p w:rsidR="006557DA" w:rsidRPr="008A1BE7" w:rsidRDefault="00DF5881" w:rsidP="006557DA">
      <w:pPr>
        <w:tabs>
          <w:tab w:val="left" w:pos="851"/>
        </w:tabs>
        <w:jc w:val="both"/>
        <w:rPr>
          <w:rFonts w:ascii="Garamond" w:hAnsi="Garamond"/>
          <w:color w:val="000000"/>
          <w:spacing w:val="-2"/>
          <w:sz w:val="22"/>
          <w:szCs w:val="22"/>
        </w:rPr>
      </w:pPr>
      <w:r w:rsidRPr="008A1BE7">
        <w:rPr>
          <w:rFonts w:ascii="Garamond" w:hAnsi="Garamond"/>
          <w:b/>
          <w:color w:val="000000"/>
          <w:spacing w:val="-2"/>
          <w:sz w:val="22"/>
          <w:szCs w:val="22"/>
        </w:rPr>
        <w:t>5</w:t>
      </w:r>
      <w:r w:rsidR="006557DA" w:rsidRPr="008A1BE7">
        <w:rPr>
          <w:rFonts w:ascii="Garamond" w:hAnsi="Garamond"/>
          <w:b/>
          <w:color w:val="000000"/>
          <w:spacing w:val="-2"/>
          <w:sz w:val="22"/>
          <w:szCs w:val="22"/>
        </w:rPr>
        <w:t>. §</w:t>
      </w:r>
      <w:r w:rsidR="00CA2D98" w:rsidRPr="008A1BE7">
        <w:rPr>
          <w:rFonts w:ascii="Garamond" w:hAnsi="Garamond"/>
          <w:color w:val="000000"/>
          <w:spacing w:val="-2"/>
          <w:sz w:val="22"/>
          <w:szCs w:val="22"/>
        </w:rPr>
        <w:t xml:space="preserve"> </w:t>
      </w:r>
      <w:r w:rsidR="00CA2D98" w:rsidRPr="008A1BE7">
        <w:rPr>
          <w:rFonts w:ascii="Garamond" w:hAnsi="Garamond"/>
          <w:color w:val="000000"/>
          <w:spacing w:val="-2"/>
          <w:sz w:val="22"/>
          <w:szCs w:val="22"/>
        </w:rPr>
        <w:tab/>
        <w:t>Ez a rendelet 2015</w:t>
      </w:r>
      <w:r w:rsidR="006557DA" w:rsidRPr="008A1BE7">
        <w:rPr>
          <w:rFonts w:ascii="Garamond" w:hAnsi="Garamond"/>
          <w:color w:val="000000"/>
          <w:spacing w:val="-2"/>
          <w:sz w:val="22"/>
          <w:szCs w:val="22"/>
        </w:rPr>
        <w:t xml:space="preserve">. </w:t>
      </w:r>
      <w:r w:rsidR="00CA2D98" w:rsidRPr="008A1BE7">
        <w:rPr>
          <w:rFonts w:ascii="Garamond" w:hAnsi="Garamond"/>
          <w:color w:val="000000"/>
          <w:spacing w:val="-2"/>
          <w:sz w:val="22"/>
          <w:szCs w:val="22"/>
        </w:rPr>
        <w:t xml:space="preserve">november 1-jén lép hatályba és a következő napon hatályát veszti. </w:t>
      </w:r>
      <w:r w:rsidR="006557DA" w:rsidRPr="008A1BE7">
        <w:rPr>
          <w:rFonts w:ascii="Garamond" w:hAnsi="Garamond"/>
          <w:color w:val="000000"/>
          <w:spacing w:val="-2"/>
          <w:sz w:val="22"/>
          <w:szCs w:val="22"/>
        </w:rPr>
        <w:t xml:space="preserve"> </w:t>
      </w:r>
    </w:p>
    <w:p w:rsidR="006557DA" w:rsidRPr="008A1BE7" w:rsidRDefault="006557DA" w:rsidP="006557DA">
      <w:pPr>
        <w:pStyle w:val="JogtrNormlTrzsChar"/>
        <w:spacing w:before="0"/>
        <w:rPr>
          <w:rFonts w:ascii="Garamond" w:hAnsi="Garamond"/>
          <w:sz w:val="22"/>
          <w:szCs w:val="22"/>
        </w:rPr>
      </w:pPr>
    </w:p>
    <w:p w:rsidR="00262540" w:rsidRPr="008A1BE7" w:rsidRDefault="00262540" w:rsidP="006557DA">
      <w:pPr>
        <w:pStyle w:val="JogtrNormlTrzsChar"/>
        <w:spacing w:before="0"/>
        <w:rPr>
          <w:rFonts w:ascii="Garamond" w:hAnsi="Garamond" w:cs="Times New Roman"/>
          <w:sz w:val="22"/>
          <w:szCs w:val="22"/>
        </w:rPr>
      </w:pPr>
    </w:p>
    <w:p w:rsidR="006557DA" w:rsidRPr="008A1BE7" w:rsidRDefault="00CA2D98" w:rsidP="006557DA">
      <w:pPr>
        <w:pStyle w:val="JogtrNormlTrzsChar"/>
        <w:spacing w:before="0"/>
        <w:rPr>
          <w:rFonts w:ascii="Garamond" w:hAnsi="Garamond" w:cs="Times New Roman"/>
          <w:sz w:val="22"/>
          <w:szCs w:val="22"/>
        </w:rPr>
      </w:pPr>
      <w:r w:rsidRPr="008A1BE7">
        <w:rPr>
          <w:rFonts w:ascii="Garamond" w:hAnsi="Garamond" w:cs="Times New Roman"/>
          <w:sz w:val="22"/>
          <w:szCs w:val="22"/>
        </w:rPr>
        <w:t>Törökszentmiklós, 2015.</w:t>
      </w:r>
      <w:r w:rsidR="003D77F5" w:rsidRPr="008A1BE7">
        <w:rPr>
          <w:rFonts w:ascii="Garamond" w:hAnsi="Garamond" w:cs="Times New Roman"/>
          <w:sz w:val="22"/>
          <w:szCs w:val="22"/>
        </w:rPr>
        <w:t xml:space="preserve"> október 29.</w:t>
      </w:r>
    </w:p>
    <w:p w:rsidR="00CA2D98" w:rsidRDefault="00CA2D98" w:rsidP="006557DA">
      <w:pPr>
        <w:pStyle w:val="JogtrNormlTrzsChar"/>
        <w:spacing w:before="0"/>
        <w:rPr>
          <w:rFonts w:ascii="Garamond" w:hAnsi="Garamond" w:cs="Times New Roman"/>
          <w:sz w:val="22"/>
          <w:szCs w:val="22"/>
        </w:rPr>
      </w:pPr>
    </w:p>
    <w:p w:rsidR="00624C9C" w:rsidRDefault="00624C9C" w:rsidP="006557DA">
      <w:pPr>
        <w:pStyle w:val="JogtrNormlTrzsChar"/>
        <w:spacing w:before="0"/>
        <w:rPr>
          <w:rFonts w:ascii="Garamond" w:hAnsi="Garamond" w:cs="Times New Roman"/>
          <w:sz w:val="22"/>
          <w:szCs w:val="22"/>
        </w:rPr>
      </w:pPr>
    </w:p>
    <w:p w:rsidR="00624C9C" w:rsidRPr="008A1BE7" w:rsidRDefault="00624C9C" w:rsidP="006557DA">
      <w:pPr>
        <w:pStyle w:val="JogtrNormlTrzsChar"/>
        <w:spacing w:before="0"/>
        <w:rPr>
          <w:rFonts w:ascii="Garamond" w:hAnsi="Garamond" w:cs="Times New Roman"/>
          <w:sz w:val="22"/>
          <w:szCs w:val="22"/>
        </w:rPr>
      </w:pPr>
    </w:p>
    <w:p w:rsidR="00CA2D98" w:rsidRPr="008A1BE7" w:rsidRDefault="00CA2D98" w:rsidP="006557DA">
      <w:pPr>
        <w:pStyle w:val="JogtrNormlTrzsChar"/>
        <w:spacing w:before="0"/>
        <w:rPr>
          <w:rFonts w:ascii="Garamond" w:hAnsi="Garamond" w:cs="Times New Roman"/>
          <w:sz w:val="22"/>
          <w:szCs w:val="22"/>
        </w:rPr>
      </w:pPr>
    </w:p>
    <w:tbl>
      <w:tblPr>
        <w:tblW w:w="0" w:type="auto"/>
        <w:jc w:val="center"/>
        <w:tblLook w:val="01E0"/>
      </w:tblPr>
      <w:tblGrid>
        <w:gridCol w:w="4394"/>
        <w:gridCol w:w="4395"/>
      </w:tblGrid>
      <w:tr w:rsidR="006557DA" w:rsidRPr="008A1BE7" w:rsidTr="006557DA">
        <w:trPr>
          <w:jc w:val="center"/>
        </w:trPr>
        <w:tc>
          <w:tcPr>
            <w:tcW w:w="4394" w:type="dxa"/>
            <w:hideMark/>
          </w:tcPr>
          <w:p w:rsidR="006557DA" w:rsidRPr="008A1BE7" w:rsidRDefault="00CA2D98" w:rsidP="00624C9C">
            <w:pPr>
              <w:jc w:val="center"/>
              <w:rPr>
                <w:rFonts w:ascii="Garamond" w:hAnsi="Garamond"/>
              </w:rPr>
            </w:pPr>
            <w:r w:rsidRPr="008A1BE7">
              <w:rPr>
                <w:rFonts w:ascii="Garamond" w:hAnsi="Garamond"/>
                <w:sz w:val="22"/>
                <w:szCs w:val="22"/>
              </w:rPr>
              <w:t>Markót Imre</w:t>
            </w:r>
          </w:p>
          <w:p w:rsidR="006557DA" w:rsidRPr="008A1BE7" w:rsidRDefault="006557DA" w:rsidP="00624C9C">
            <w:pPr>
              <w:jc w:val="center"/>
              <w:rPr>
                <w:rFonts w:ascii="Garamond" w:hAnsi="Garamond"/>
              </w:rPr>
            </w:pPr>
            <w:r w:rsidRPr="008A1BE7">
              <w:rPr>
                <w:rFonts w:ascii="Garamond" w:hAnsi="Garamond"/>
                <w:sz w:val="22"/>
                <w:szCs w:val="22"/>
              </w:rPr>
              <w:t>polgármester</w:t>
            </w:r>
          </w:p>
        </w:tc>
        <w:tc>
          <w:tcPr>
            <w:tcW w:w="4395" w:type="dxa"/>
            <w:hideMark/>
          </w:tcPr>
          <w:p w:rsidR="006557DA" w:rsidRPr="008A1BE7" w:rsidRDefault="00CA2D98">
            <w:pPr>
              <w:jc w:val="center"/>
              <w:rPr>
                <w:rFonts w:ascii="Garamond" w:hAnsi="Garamond"/>
              </w:rPr>
            </w:pPr>
            <w:r w:rsidRPr="008A1BE7">
              <w:rPr>
                <w:rFonts w:ascii="Garamond" w:hAnsi="Garamond"/>
                <w:sz w:val="22"/>
                <w:szCs w:val="22"/>
              </w:rPr>
              <w:t>Dr. Majtényi Erzsébet</w:t>
            </w:r>
            <w:r w:rsidR="006557DA" w:rsidRPr="008A1BE7">
              <w:rPr>
                <w:rFonts w:ascii="Garamond" w:hAnsi="Garamond"/>
                <w:sz w:val="22"/>
                <w:szCs w:val="22"/>
              </w:rPr>
              <w:t xml:space="preserve"> </w:t>
            </w:r>
          </w:p>
          <w:p w:rsidR="006557DA" w:rsidRPr="008A1BE7" w:rsidRDefault="006557DA">
            <w:pPr>
              <w:jc w:val="center"/>
              <w:rPr>
                <w:rFonts w:ascii="Garamond" w:hAnsi="Garamond"/>
              </w:rPr>
            </w:pPr>
            <w:r w:rsidRPr="008A1BE7">
              <w:rPr>
                <w:rFonts w:ascii="Garamond" w:hAnsi="Garamond"/>
                <w:sz w:val="22"/>
                <w:szCs w:val="22"/>
              </w:rPr>
              <w:t>jegyző</w:t>
            </w:r>
          </w:p>
        </w:tc>
      </w:tr>
    </w:tbl>
    <w:p w:rsidR="000C00D8" w:rsidRPr="00262540" w:rsidRDefault="000C00D8"/>
    <w:sectPr w:rsidR="000C00D8" w:rsidRPr="00262540" w:rsidSect="00CA2D98">
      <w:pgSz w:w="11906" w:h="16838"/>
      <w:pgMar w:top="993"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6B1" w:rsidRDefault="003626B1" w:rsidP="001C74C0">
      <w:r>
        <w:separator/>
      </w:r>
    </w:p>
  </w:endnote>
  <w:endnote w:type="continuationSeparator" w:id="0">
    <w:p w:rsidR="003626B1" w:rsidRDefault="003626B1" w:rsidP="001C7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246896"/>
      <w:docPartObj>
        <w:docPartGallery w:val="Page Numbers (Bottom of Page)"/>
        <w:docPartUnique/>
      </w:docPartObj>
    </w:sdtPr>
    <w:sdtContent>
      <w:p w:rsidR="003626B1" w:rsidRDefault="00B37307">
        <w:pPr>
          <w:pStyle w:val="llb"/>
          <w:jc w:val="center"/>
        </w:pPr>
        <w:r>
          <w:fldChar w:fldCharType="begin"/>
        </w:r>
        <w:r w:rsidR="003626B1">
          <w:instrText>PAGE   \* MERGEFORMAT</w:instrText>
        </w:r>
        <w:r>
          <w:fldChar w:fldCharType="separate"/>
        </w:r>
        <w:r w:rsidR="003644EC">
          <w:rPr>
            <w:noProof/>
          </w:rPr>
          <w:t>7</w:t>
        </w:r>
        <w:r>
          <w:fldChar w:fldCharType="end"/>
        </w:r>
      </w:p>
    </w:sdtContent>
  </w:sdt>
  <w:p w:rsidR="003626B1" w:rsidRDefault="003626B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6B1" w:rsidRDefault="003626B1" w:rsidP="001C74C0">
      <w:r>
        <w:separator/>
      </w:r>
    </w:p>
  </w:footnote>
  <w:footnote w:type="continuationSeparator" w:id="0">
    <w:p w:rsidR="003626B1" w:rsidRDefault="003626B1" w:rsidP="001C7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EC029066"/>
    <w:name w:val="WW8Num8"/>
    <w:lvl w:ilvl="0">
      <w:start w:val="1"/>
      <w:numFmt w:val="upperRoman"/>
      <w:pStyle w:val="lista1"/>
      <w:suff w:val="space"/>
      <w:lvlText w:val="%1."/>
      <w:lvlJc w:val="left"/>
      <w:pPr>
        <w:ind w:left="1080" w:hanging="720"/>
      </w:pPr>
      <w:rPr>
        <w:rFonts w:cs="Times New Roman" w:hint="default"/>
      </w:rPr>
    </w:lvl>
  </w:abstractNum>
  <w:abstractNum w:abstractNumId="1">
    <w:nsid w:val="467A728D"/>
    <w:multiLevelType w:val="hybridMultilevel"/>
    <w:tmpl w:val="A5808FB6"/>
    <w:name w:val="WW8Num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80D1372"/>
    <w:multiLevelType w:val="hybridMultilevel"/>
    <w:tmpl w:val="8458A2EA"/>
    <w:lvl w:ilvl="0" w:tplc="484E50FE">
      <w:start w:val="1"/>
      <w:numFmt w:val="upperRoman"/>
      <w:lvlText w:val="%1."/>
      <w:lvlJc w:val="left"/>
      <w:pPr>
        <w:ind w:left="1080" w:hanging="72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6DFD5BA8"/>
    <w:multiLevelType w:val="hybridMultilevel"/>
    <w:tmpl w:val="E8E645FC"/>
    <w:lvl w:ilvl="0" w:tplc="040E0001">
      <w:start w:val="1"/>
      <w:numFmt w:val="bullet"/>
      <w:lvlText w:val=""/>
      <w:lvlJc w:val="left"/>
      <w:pPr>
        <w:ind w:left="3192" w:hanging="360"/>
      </w:pPr>
      <w:rPr>
        <w:rFonts w:ascii="Symbol" w:hAnsi="Symbol" w:hint="default"/>
      </w:rPr>
    </w:lvl>
    <w:lvl w:ilvl="1" w:tplc="040E0003" w:tentative="1">
      <w:start w:val="1"/>
      <w:numFmt w:val="bullet"/>
      <w:lvlText w:val="o"/>
      <w:lvlJc w:val="left"/>
      <w:pPr>
        <w:ind w:left="3912" w:hanging="360"/>
      </w:pPr>
      <w:rPr>
        <w:rFonts w:ascii="Courier New" w:hAnsi="Courier New" w:cs="Courier New" w:hint="default"/>
      </w:rPr>
    </w:lvl>
    <w:lvl w:ilvl="2" w:tplc="040E0005" w:tentative="1">
      <w:start w:val="1"/>
      <w:numFmt w:val="bullet"/>
      <w:lvlText w:val=""/>
      <w:lvlJc w:val="left"/>
      <w:pPr>
        <w:ind w:left="4632" w:hanging="360"/>
      </w:pPr>
      <w:rPr>
        <w:rFonts w:ascii="Wingdings" w:hAnsi="Wingdings" w:hint="default"/>
      </w:rPr>
    </w:lvl>
    <w:lvl w:ilvl="3" w:tplc="040E0001" w:tentative="1">
      <w:start w:val="1"/>
      <w:numFmt w:val="bullet"/>
      <w:lvlText w:val=""/>
      <w:lvlJc w:val="left"/>
      <w:pPr>
        <w:ind w:left="5352" w:hanging="360"/>
      </w:pPr>
      <w:rPr>
        <w:rFonts w:ascii="Symbol" w:hAnsi="Symbol" w:hint="default"/>
      </w:rPr>
    </w:lvl>
    <w:lvl w:ilvl="4" w:tplc="040E0003" w:tentative="1">
      <w:start w:val="1"/>
      <w:numFmt w:val="bullet"/>
      <w:lvlText w:val="o"/>
      <w:lvlJc w:val="left"/>
      <w:pPr>
        <w:ind w:left="6072" w:hanging="360"/>
      </w:pPr>
      <w:rPr>
        <w:rFonts w:ascii="Courier New" w:hAnsi="Courier New" w:cs="Courier New" w:hint="default"/>
      </w:rPr>
    </w:lvl>
    <w:lvl w:ilvl="5" w:tplc="040E0005" w:tentative="1">
      <w:start w:val="1"/>
      <w:numFmt w:val="bullet"/>
      <w:lvlText w:val=""/>
      <w:lvlJc w:val="left"/>
      <w:pPr>
        <w:ind w:left="6792" w:hanging="360"/>
      </w:pPr>
      <w:rPr>
        <w:rFonts w:ascii="Wingdings" w:hAnsi="Wingdings" w:hint="default"/>
      </w:rPr>
    </w:lvl>
    <w:lvl w:ilvl="6" w:tplc="040E0001" w:tentative="1">
      <w:start w:val="1"/>
      <w:numFmt w:val="bullet"/>
      <w:lvlText w:val=""/>
      <w:lvlJc w:val="left"/>
      <w:pPr>
        <w:ind w:left="7512" w:hanging="360"/>
      </w:pPr>
      <w:rPr>
        <w:rFonts w:ascii="Symbol" w:hAnsi="Symbol" w:hint="default"/>
      </w:rPr>
    </w:lvl>
    <w:lvl w:ilvl="7" w:tplc="040E0003" w:tentative="1">
      <w:start w:val="1"/>
      <w:numFmt w:val="bullet"/>
      <w:lvlText w:val="o"/>
      <w:lvlJc w:val="left"/>
      <w:pPr>
        <w:ind w:left="8232" w:hanging="360"/>
      </w:pPr>
      <w:rPr>
        <w:rFonts w:ascii="Courier New" w:hAnsi="Courier New" w:cs="Courier New" w:hint="default"/>
      </w:rPr>
    </w:lvl>
    <w:lvl w:ilvl="8" w:tplc="040E0005" w:tentative="1">
      <w:start w:val="1"/>
      <w:numFmt w:val="bullet"/>
      <w:lvlText w:val=""/>
      <w:lvlJc w:val="left"/>
      <w:pPr>
        <w:ind w:left="8952" w:hanging="360"/>
      </w:pPr>
      <w:rPr>
        <w:rFonts w:ascii="Wingdings" w:hAnsi="Wingdings" w:hint="default"/>
      </w:rPr>
    </w:lvl>
  </w:abstractNum>
  <w:abstractNum w:abstractNumId="4">
    <w:nsid w:val="751F071B"/>
    <w:multiLevelType w:val="hybridMultilevel"/>
    <w:tmpl w:val="B0009288"/>
    <w:lvl w:ilvl="0" w:tplc="040E0005">
      <w:start w:val="1"/>
      <w:numFmt w:val="bullet"/>
      <w:lvlText w:val=""/>
      <w:lvlJc w:val="left"/>
      <w:pPr>
        <w:ind w:left="774" w:hanging="360"/>
      </w:pPr>
      <w:rPr>
        <w:rFonts w:ascii="Wingdings" w:hAnsi="Wingdings" w:hint="default"/>
      </w:rPr>
    </w:lvl>
    <w:lvl w:ilvl="1" w:tplc="040E0003" w:tentative="1">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5">
    <w:nsid w:val="75EC31D0"/>
    <w:multiLevelType w:val="hybridMultilevel"/>
    <w:tmpl w:val="8892AD0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7FDE4CF5"/>
    <w:multiLevelType w:val="hybridMultilevel"/>
    <w:tmpl w:val="256E4322"/>
    <w:lvl w:ilvl="0" w:tplc="77687432">
      <w:start w:val="1"/>
      <w:numFmt w:val="bullet"/>
      <w:lvlText w:val="-"/>
      <w:lvlJc w:val="left"/>
      <w:pPr>
        <w:ind w:left="1571" w:hanging="360"/>
      </w:pPr>
      <w:rPr>
        <w:rFonts w:ascii="Calibri" w:eastAsia="Calibri" w:hAnsi="Calibri" w:cs="Calibri" w:hint="default"/>
      </w:rPr>
    </w:lvl>
    <w:lvl w:ilvl="1" w:tplc="040E0003">
      <w:start w:val="1"/>
      <w:numFmt w:val="bullet"/>
      <w:lvlText w:val="o"/>
      <w:lvlJc w:val="left"/>
      <w:pPr>
        <w:ind w:left="2291" w:hanging="360"/>
      </w:pPr>
      <w:rPr>
        <w:rFonts w:ascii="Courier New" w:hAnsi="Courier New" w:cs="Courier New" w:hint="default"/>
      </w:rPr>
    </w:lvl>
    <w:lvl w:ilvl="2" w:tplc="040E0005">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start w:val="1"/>
      <w:numFmt w:val="bullet"/>
      <w:lvlText w:val="o"/>
      <w:lvlJc w:val="left"/>
      <w:pPr>
        <w:ind w:left="4451" w:hanging="360"/>
      </w:pPr>
      <w:rPr>
        <w:rFonts w:ascii="Courier New" w:hAnsi="Courier New" w:cs="Courier New" w:hint="default"/>
      </w:rPr>
    </w:lvl>
    <w:lvl w:ilvl="5" w:tplc="040E0005">
      <w:start w:val="1"/>
      <w:numFmt w:val="bullet"/>
      <w:lvlText w:val=""/>
      <w:lvlJc w:val="left"/>
      <w:pPr>
        <w:ind w:left="5171" w:hanging="360"/>
      </w:pPr>
      <w:rPr>
        <w:rFonts w:ascii="Wingdings" w:hAnsi="Wingdings" w:hint="default"/>
      </w:rPr>
    </w:lvl>
    <w:lvl w:ilvl="6" w:tplc="040E0001">
      <w:start w:val="1"/>
      <w:numFmt w:val="bullet"/>
      <w:lvlText w:val=""/>
      <w:lvlJc w:val="left"/>
      <w:pPr>
        <w:ind w:left="5891" w:hanging="360"/>
      </w:pPr>
      <w:rPr>
        <w:rFonts w:ascii="Symbol" w:hAnsi="Symbol" w:hint="default"/>
      </w:rPr>
    </w:lvl>
    <w:lvl w:ilvl="7" w:tplc="040E0003">
      <w:start w:val="1"/>
      <w:numFmt w:val="bullet"/>
      <w:lvlText w:val="o"/>
      <w:lvlJc w:val="left"/>
      <w:pPr>
        <w:ind w:left="6611" w:hanging="360"/>
      </w:pPr>
      <w:rPr>
        <w:rFonts w:ascii="Courier New" w:hAnsi="Courier New" w:cs="Courier New" w:hint="default"/>
      </w:rPr>
    </w:lvl>
    <w:lvl w:ilvl="8" w:tplc="040E0005">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64CC0"/>
    <w:rsid w:val="00032E71"/>
    <w:rsid w:val="000C00D8"/>
    <w:rsid w:val="000F33E6"/>
    <w:rsid w:val="0012364B"/>
    <w:rsid w:val="00165439"/>
    <w:rsid w:val="001B43D1"/>
    <w:rsid w:val="001C74C0"/>
    <w:rsid w:val="00220BAC"/>
    <w:rsid w:val="00242C7F"/>
    <w:rsid w:val="00262540"/>
    <w:rsid w:val="0027286A"/>
    <w:rsid w:val="002A0657"/>
    <w:rsid w:val="002B45CE"/>
    <w:rsid w:val="00315E7A"/>
    <w:rsid w:val="00346FD0"/>
    <w:rsid w:val="003626B1"/>
    <w:rsid w:val="003644EC"/>
    <w:rsid w:val="003C0261"/>
    <w:rsid w:val="003D6E30"/>
    <w:rsid w:val="003D77F5"/>
    <w:rsid w:val="003E35E8"/>
    <w:rsid w:val="0042438C"/>
    <w:rsid w:val="00436C35"/>
    <w:rsid w:val="00475EDB"/>
    <w:rsid w:val="004F2D04"/>
    <w:rsid w:val="00573F5F"/>
    <w:rsid w:val="00590A2A"/>
    <w:rsid w:val="005E24DD"/>
    <w:rsid w:val="00624C9C"/>
    <w:rsid w:val="006557DA"/>
    <w:rsid w:val="0069236D"/>
    <w:rsid w:val="00754ED4"/>
    <w:rsid w:val="00774D49"/>
    <w:rsid w:val="00795B2F"/>
    <w:rsid w:val="007A7CDF"/>
    <w:rsid w:val="007B533A"/>
    <w:rsid w:val="008217E5"/>
    <w:rsid w:val="008719FE"/>
    <w:rsid w:val="008935E7"/>
    <w:rsid w:val="008A1BE7"/>
    <w:rsid w:val="008B0527"/>
    <w:rsid w:val="00916B12"/>
    <w:rsid w:val="00916B85"/>
    <w:rsid w:val="00964CC0"/>
    <w:rsid w:val="009F530D"/>
    <w:rsid w:val="00A16BD6"/>
    <w:rsid w:val="00A60007"/>
    <w:rsid w:val="00A82519"/>
    <w:rsid w:val="00AA5F45"/>
    <w:rsid w:val="00B01E0D"/>
    <w:rsid w:val="00B37307"/>
    <w:rsid w:val="00BF4CEB"/>
    <w:rsid w:val="00C21C47"/>
    <w:rsid w:val="00C332E3"/>
    <w:rsid w:val="00C535C0"/>
    <w:rsid w:val="00C666C8"/>
    <w:rsid w:val="00C85522"/>
    <w:rsid w:val="00CA2D98"/>
    <w:rsid w:val="00CE1940"/>
    <w:rsid w:val="00D15977"/>
    <w:rsid w:val="00DF5881"/>
    <w:rsid w:val="00E01E09"/>
    <w:rsid w:val="00E01FBE"/>
    <w:rsid w:val="00E839C1"/>
    <w:rsid w:val="00ED3732"/>
    <w:rsid w:val="00EF7293"/>
    <w:rsid w:val="00F40962"/>
    <w:rsid w:val="00FD0B5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4CC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uiPriority w:val="99"/>
    <w:rsid w:val="00964CC0"/>
    <w:pPr>
      <w:spacing w:after="200" w:line="276" w:lineRule="auto"/>
      <w:ind w:left="720"/>
      <w:contextualSpacing/>
    </w:pPr>
    <w:rPr>
      <w:rFonts w:ascii="Calibri" w:hAnsi="Calibri"/>
      <w:sz w:val="22"/>
      <w:szCs w:val="22"/>
      <w:lang w:eastAsia="en-US"/>
    </w:rPr>
  </w:style>
  <w:style w:type="paragraph" w:customStyle="1" w:styleId="JogtrNormlTrzs">
    <w:name w:val="Jogtár_NormálTörzs"/>
    <w:link w:val="JogtrNormlTrzsChar1"/>
    <w:rsid w:val="00964CC0"/>
    <w:pPr>
      <w:spacing w:before="60" w:after="0" w:line="240" w:lineRule="auto"/>
      <w:jc w:val="both"/>
    </w:pPr>
    <w:rPr>
      <w:rFonts w:ascii="Times New Roman" w:eastAsia="Times New Roman" w:hAnsi="Times New Roman" w:cs="Times New Roman"/>
      <w:noProof/>
      <w:sz w:val="24"/>
      <w:szCs w:val="24"/>
      <w:lang w:eastAsia="hu-HU"/>
    </w:rPr>
  </w:style>
  <w:style w:type="character" w:customStyle="1" w:styleId="JogtrNormlTrzsChar1">
    <w:name w:val="Jogtár_NormálTörzs Char1"/>
    <w:basedOn w:val="Bekezdsalapbettpusa"/>
    <w:link w:val="JogtrNormlTrzs"/>
    <w:locked/>
    <w:rsid w:val="00964CC0"/>
    <w:rPr>
      <w:rFonts w:ascii="Times New Roman" w:eastAsia="Times New Roman" w:hAnsi="Times New Roman" w:cs="Times New Roman"/>
      <w:noProof/>
      <w:sz w:val="24"/>
      <w:szCs w:val="24"/>
      <w:lang w:eastAsia="hu-HU"/>
    </w:rPr>
  </w:style>
  <w:style w:type="paragraph" w:customStyle="1" w:styleId="msonormalcxspmiddle">
    <w:name w:val="msonormalcxspmiddle"/>
    <w:basedOn w:val="Norml"/>
    <w:uiPriority w:val="99"/>
    <w:rsid w:val="00964CC0"/>
    <w:pPr>
      <w:spacing w:before="100" w:beforeAutospacing="1" w:after="100" w:afterAutospacing="1"/>
    </w:pPr>
  </w:style>
  <w:style w:type="paragraph" w:customStyle="1" w:styleId="lista1">
    <w:name w:val="lista1"/>
    <w:basedOn w:val="Norml"/>
    <w:rsid w:val="00964CC0"/>
    <w:pPr>
      <w:numPr>
        <w:numId w:val="1"/>
      </w:numPr>
      <w:suppressAutoHyphens/>
      <w:spacing w:before="60" w:after="60"/>
      <w:jc w:val="both"/>
      <w:outlineLvl w:val="2"/>
    </w:pPr>
    <w:rPr>
      <w:szCs w:val="20"/>
      <w:lang w:eastAsia="ar-SA"/>
    </w:rPr>
  </w:style>
  <w:style w:type="paragraph" w:styleId="Buborkszveg">
    <w:name w:val="Balloon Text"/>
    <w:basedOn w:val="Norml"/>
    <w:link w:val="BuborkszvegChar"/>
    <w:uiPriority w:val="99"/>
    <w:semiHidden/>
    <w:unhideWhenUsed/>
    <w:rsid w:val="00964CC0"/>
    <w:rPr>
      <w:rFonts w:ascii="Tahoma" w:hAnsi="Tahoma" w:cs="Tahoma"/>
      <w:sz w:val="16"/>
      <w:szCs w:val="16"/>
    </w:rPr>
  </w:style>
  <w:style w:type="character" w:customStyle="1" w:styleId="BuborkszvegChar">
    <w:name w:val="Buborékszöveg Char"/>
    <w:basedOn w:val="Bekezdsalapbettpusa"/>
    <w:link w:val="Buborkszveg"/>
    <w:uiPriority w:val="99"/>
    <w:semiHidden/>
    <w:rsid w:val="00964CC0"/>
    <w:rPr>
      <w:rFonts w:ascii="Tahoma" w:eastAsia="Times New Roman" w:hAnsi="Tahoma" w:cs="Tahoma"/>
      <w:sz w:val="16"/>
      <w:szCs w:val="16"/>
      <w:lang w:eastAsia="hu-HU"/>
    </w:rPr>
  </w:style>
  <w:style w:type="paragraph" w:styleId="Listaszerbekezds">
    <w:name w:val="List Paragraph"/>
    <w:basedOn w:val="Norml"/>
    <w:uiPriority w:val="34"/>
    <w:qFormat/>
    <w:rsid w:val="00A60007"/>
    <w:pPr>
      <w:ind w:left="720"/>
      <w:contextualSpacing/>
    </w:pPr>
  </w:style>
  <w:style w:type="character" w:customStyle="1" w:styleId="JogtrNormlTrzsCharChar">
    <w:name w:val="Jogtár_NormálTörzs Char Char"/>
    <w:basedOn w:val="Bekezdsalapbettpusa"/>
    <w:link w:val="JogtrNormlTrzsChar"/>
    <w:locked/>
    <w:rsid w:val="006557DA"/>
    <w:rPr>
      <w:noProof/>
      <w:sz w:val="24"/>
      <w:szCs w:val="24"/>
    </w:rPr>
  </w:style>
  <w:style w:type="paragraph" w:customStyle="1" w:styleId="JogtrNormlTrzsChar">
    <w:name w:val="Jogtár_NormálTörzs Char"/>
    <w:link w:val="JogtrNormlTrzsCharChar"/>
    <w:rsid w:val="006557DA"/>
    <w:pPr>
      <w:spacing w:before="60" w:after="0" w:line="240" w:lineRule="auto"/>
      <w:jc w:val="both"/>
    </w:pPr>
    <w:rPr>
      <w:noProof/>
      <w:sz w:val="24"/>
      <w:szCs w:val="24"/>
    </w:rPr>
  </w:style>
  <w:style w:type="paragraph" w:styleId="lfej">
    <w:name w:val="header"/>
    <w:basedOn w:val="Norml"/>
    <w:link w:val="lfejChar"/>
    <w:uiPriority w:val="99"/>
    <w:unhideWhenUsed/>
    <w:rsid w:val="001C74C0"/>
    <w:pPr>
      <w:tabs>
        <w:tab w:val="center" w:pos="4536"/>
        <w:tab w:val="right" w:pos="9072"/>
      </w:tabs>
    </w:pPr>
  </w:style>
  <w:style w:type="character" w:customStyle="1" w:styleId="lfejChar">
    <w:name w:val="Élőfej Char"/>
    <w:basedOn w:val="Bekezdsalapbettpusa"/>
    <w:link w:val="lfej"/>
    <w:uiPriority w:val="99"/>
    <w:rsid w:val="001C74C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1C74C0"/>
    <w:pPr>
      <w:tabs>
        <w:tab w:val="center" w:pos="4536"/>
        <w:tab w:val="right" w:pos="9072"/>
      </w:tabs>
    </w:pPr>
  </w:style>
  <w:style w:type="character" w:customStyle="1" w:styleId="llbChar">
    <w:name w:val="Élőláb Char"/>
    <w:basedOn w:val="Bekezdsalapbettpusa"/>
    <w:link w:val="llb"/>
    <w:uiPriority w:val="99"/>
    <w:rsid w:val="001C74C0"/>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4CC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uiPriority w:val="99"/>
    <w:rsid w:val="00964CC0"/>
    <w:pPr>
      <w:spacing w:after="200" w:line="276" w:lineRule="auto"/>
      <w:ind w:left="720"/>
      <w:contextualSpacing/>
    </w:pPr>
    <w:rPr>
      <w:rFonts w:ascii="Calibri" w:hAnsi="Calibri"/>
      <w:sz w:val="22"/>
      <w:szCs w:val="22"/>
      <w:lang w:eastAsia="en-US"/>
    </w:rPr>
  </w:style>
  <w:style w:type="paragraph" w:customStyle="1" w:styleId="JogtrNormlTrzs">
    <w:name w:val="Jogtár_NormálTörzs"/>
    <w:link w:val="JogtrNormlTrzsChar1"/>
    <w:rsid w:val="00964CC0"/>
    <w:pPr>
      <w:spacing w:before="60" w:after="0" w:line="240" w:lineRule="auto"/>
      <w:jc w:val="both"/>
    </w:pPr>
    <w:rPr>
      <w:rFonts w:ascii="Times New Roman" w:eastAsia="Times New Roman" w:hAnsi="Times New Roman" w:cs="Times New Roman"/>
      <w:noProof/>
      <w:sz w:val="24"/>
      <w:szCs w:val="24"/>
      <w:lang w:eastAsia="hu-HU"/>
    </w:rPr>
  </w:style>
  <w:style w:type="character" w:customStyle="1" w:styleId="JogtrNormlTrzsChar1">
    <w:name w:val="Jogtár_NormálTörzs Char1"/>
    <w:basedOn w:val="Bekezdsalapbettpusa"/>
    <w:link w:val="JogtrNormlTrzs"/>
    <w:locked/>
    <w:rsid w:val="00964CC0"/>
    <w:rPr>
      <w:rFonts w:ascii="Times New Roman" w:eastAsia="Times New Roman" w:hAnsi="Times New Roman" w:cs="Times New Roman"/>
      <w:noProof/>
      <w:sz w:val="24"/>
      <w:szCs w:val="24"/>
      <w:lang w:eastAsia="hu-HU"/>
    </w:rPr>
  </w:style>
  <w:style w:type="paragraph" w:customStyle="1" w:styleId="msonormalcxspmiddle">
    <w:name w:val="msonormalcxspmiddle"/>
    <w:basedOn w:val="Norml"/>
    <w:uiPriority w:val="99"/>
    <w:rsid w:val="00964CC0"/>
    <w:pPr>
      <w:spacing w:before="100" w:beforeAutospacing="1" w:after="100" w:afterAutospacing="1"/>
    </w:pPr>
  </w:style>
  <w:style w:type="paragraph" w:customStyle="1" w:styleId="lista1">
    <w:name w:val="lista1"/>
    <w:basedOn w:val="Norml"/>
    <w:rsid w:val="00964CC0"/>
    <w:pPr>
      <w:numPr>
        <w:numId w:val="1"/>
      </w:numPr>
      <w:suppressAutoHyphens/>
      <w:spacing w:before="60" w:after="60"/>
      <w:jc w:val="both"/>
      <w:outlineLvl w:val="2"/>
    </w:pPr>
    <w:rPr>
      <w:szCs w:val="20"/>
      <w:lang w:eastAsia="ar-SA"/>
    </w:rPr>
  </w:style>
  <w:style w:type="paragraph" w:styleId="Buborkszveg">
    <w:name w:val="Balloon Text"/>
    <w:basedOn w:val="Norml"/>
    <w:link w:val="BuborkszvegChar"/>
    <w:uiPriority w:val="99"/>
    <w:semiHidden/>
    <w:unhideWhenUsed/>
    <w:rsid w:val="00964CC0"/>
    <w:rPr>
      <w:rFonts w:ascii="Tahoma" w:hAnsi="Tahoma" w:cs="Tahoma"/>
      <w:sz w:val="16"/>
      <w:szCs w:val="16"/>
    </w:rPr>
  </w:style>
  <w:style w:type="character" w:customStyle="1" w:styleId="BuborkszvegChar">
    <w:name w:val="Texto de balão Char"/>
    <w:basedOn w:val="Bekezdsalapbettpusa"/>
    <w:link w:val="Buborkszveg"/>
    <w:uiPriority w:val="99"/>
    <w:semiHidden/>
    <w:rsid w:val="00964CC0"/>
    <w:rPr>
      <w:rFonts w:ascii="Tahoma" w:eastAsia="Times New Roman" w:hAnsi="Tahoma" w:cs="Tahoma"/>
      <w:sz w:val="16"/>
      <w:szCs w:val="16"/>
      <w:lang w:eastAsia="hu-HU"/>
    </w:rPr>
  </w:style>
  <w:style w:type="paragraph" w:styleId="Listaszerbekezds">
    <w:name w:val="List Paragraph"/>
    <w:basedOn w:val="Norml"/>
    <w:uiPriority w:val="34"/>
    <w:qFormat/>
    <w:rsid w:val="00A60007"/>
    <w:pPr>
      <w:ind w:left="720"/>
      <w:contextualSpacing/>
    </w:pPr>
  </w:style>
  <w:style w:type="character" w:customStyle="1" w:styleId="JogtrNormlTrzsCharChar">
    <w:name w:val="Jogtár_NormálTörzs Char Char"/>
    <w:basedOn w:val="Bekezdsalapbettpusa"/>
    <w:link w:val="JogtrNormlTrzsChar"/>
    <w:locked/>
    <w:rsid w:val="006557DA"/>
    <w:rPr>
      <w:noProof/>
      <w:sz w:val="24"/>
      <w:szCs w:val="24"/>
    </w:rPr>
  </w:style>
  <w:style w:type="paragraph" w:customStyle="1" w:styleId="JogtrNormlTrzsChar">
    <w:name w:val="Jogtár_NormálTörzs Char"/>
    <w:link w:val="JogtrNormlTrzsCharChar"/>
    <w:rsid w:val="006557DA"/>
    <w:pPr>
      <w:spacing w:before="60" w:after="0" w:line="240" w:lineRule="auto"/>
      <w:jc w:val="both"/>
    </w:pPr>
    <w:rPr>
      <w:noProof/>
      <w:sz w:val="24"/>
      <w:szCs w:val="24"/>
    </w:rPr>
  </w:style>
</w:styles>
</file>

<file path=word/webSettings.xml><?xml version="1.0" encoding="utf-8"?>
<w:webSettings xmlns:r="http://schemas.openxmlformats.org/officeDocument/2006/relationships" xmlns:w="http://schemas.openxmlformats.org/wordprocessingml/2006/main">
  <w:divs>
    <w:div w:id="66659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2455</Words>
  <Characters>16942</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Libor Imre</dc:creator>
  <cp:keywords/>
  <dc:description/>
  <cp:lastModifiedBy>herczegne_ilona</cp:lastModifiedBy>
  <cp:revision>2</cp:revision>
  <cp:lastPrinted>2015-10-20T14:01:00Z</cp:lastPrinted>
  <dcterms:created xsi:type="dcterms:W3CDTF">2015-10-21T16:47:00Z</dcterms:created>
  <dcterms:modified xsi:type="dcterms:W3CDTF">2015-10-21T16:47:00Z</dcterms:modified>
</cp:coreProperties>
</file>