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877375" w:rsidRPr="002C73AB" w:rsidTr="00D056FA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375" w:rsidRPr="002C73AB" w:rsidRDefault="008D30C3" w:rsidP="00D056FA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</w:t>
            </w:r>
            <w:r w:rsidR="00877375" w:rsidRPr="002C73AB">
              <w:rPr>
                <w:b/>
                <w:sz w:val="70"/>
                <w:szCs w:val="70"/>
              </w:rPr>
              <w:t>.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73AB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73AB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BB6DE9">
              <w:rPr>
                <w:bCs/>
                <w:color w:val="000000"/>
                <w:sz w:val="22"/>
                <w:szCs w:val="22"/>
              </w:rPr>
              <w:t>5. március 30</w:t>
            </w:r>
            <w:r>
              <w:rPr>
                <w:bCs/>
                <w:color w:val="000000"/>
                <w:sz w:val="22"/>
                <w:szCs w:val="22"/>
              </w:rPr>
              <w:t xml:space="preserve"> napján tartandó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>rend</w:t>
            </w:r>
            <w:r w:rsidR="00BB6DE9">
              <w:rPr>
                <w:b/>
                <w:bCs/>
                <w:color w:val="000000"/>
                <w:sz w:val="22"/>
                <w:szCs w:val="22"/>
              </w:rPr>
              <w:t>kívüli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2C73AB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877375" w:rsidRPr="002C73AB" w:rsidTr="00D056FA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</w:pP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</w:pPr>
            <w:r w:rsidRPr="002C73A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 polgármester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</w:pPr>
            <w:r w:rsidRPr="002C73A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</w:pPr>
            <w:r w:rsidRPr="002C73AB">
              <w:rPr>
                <w:sz w:val="22"/>
                <w:szCs w:val="22"/>
              </w:rPr>
              <w:t>2-</w:t>
            </w:r>
            <w:r w:rsidR="0057096F">
              <w:rPr>
                <w:sz w:val="22"/>
                <w:szCs w:val="22"/>
              </w:rPr>
              <w:t>69</w:t>
            </w:r>
            <w:r w:rsidRPr="002C73AB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5</w:t>
            </w:r>
            <w:r w:rsidRPr="002C73AB">
              <w:rPr>
                <w:sz w:val="22"/>
                <w:szCs w:val="22"/>
              </w:rPr>
              <w:t>-F-1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</w:pPr>
            <w:r w:rsidRPr="002C73A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E41362" w:rsidRDefault="00877375" w:rsidP="00D056FA">
            <w:pPr>
              <w:jc w:val="both"/>
              <w:rPr>
                <w:b/>
                <w:sz w:val="20"/>
                <w:szCs w:val="20"/>
              </w:rPr>
            </w:pPr>
          </w:p>
          <w:p w:rsidR="00877375" w:rsidRPr="00877375" w:rsidRDefault="00877375" w:rsidP="00D056FA">
            <w:pPr>
              <w:jc w:val="both"/>
              <w:rPr>
                <w:b/>
                <w:bCs/>
              </w:rPr>
            </w:pPr>
            <w:r w:rsidRPr="00877375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877375">
              <w:rPr>
                <w:b/>
                <w:sz w:val="22"/>
                <w:szCs w:val="22"/>
              </w:rPr>
              <w:t>Szolnok-Abony-Szajol-Rákóczifalva</w:t>
            </w:r>
            <w:proofErr w:type="spellEnd"/>
            <w:r w:rsidRPr="00877375">
              <w:rPr>
                <w:b/>
                <w:sz w:val="22"/>
                <w:szCs w:val="22"/>
              </w:rPr>
              <w:t xml:space="preserve"> települési szilárd hulladéklerakói rekultivációjának Önkormányzati Társulása által igénybe veendő, adósságot keletkeztető ügylethez szükséges kezességvállalás biztosításáról</w:t>
            </w:r>
          </w:p>
          <w:p w:rsidR="00877375" w:rsidRPr="001F5075" w:rsidRDefault="00877375" w:rsidP="00D056FA">
            <w:pPr>
              <w:pStyle w:val="Cm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2C73AB">
              <w:rPr>
                <w:bCs/>
                <w:color w:val="000000"/>
                <w:sz w:val="22"/>
                <w:szCs w:val="22"/>
              </w:rPr>
              <w:t>Rendelet-tervezet</w:t>
            </w:r>
            <w:r w:rsidRPr="002C73A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2C73AB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2C73AB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</w:pPr>
            <w:r w:rsidRPr="002C73A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Default="00877375" w:rsidP="00D056F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</w:rPr>
              <w:t xml:space="preserve"> 1 db </w:t>
            </w:r>
            <w:proofErr w:type="gramStart"/>
            <w:r w:rsidRPr="002C73AB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877375" w:rsidRPr="002C73AB" w:rsidRDefault="00877375" w:rsidP="00D056F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  <w:p w:rsidR="00877375" w:rsidRPr="001F5075" w:rsidRDefault="00877375" w:rsidP="00D056F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C73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</w:pPr>
            <w:r w:rsidRPr="002C73A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contextualSpacing/>
              <w:jc w:val="right"/>
            </w:pPr>
            <w:r>
              <w:rPr>
                <w:sz w:val="22"/>
                <w:szCs w:val="22"/>
              </w:rPr>
              <w:t>Dr. Pető Zoltán aljegyző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</w:pPr>
            <w:r w:rsidRPr="002C73A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</w:pPr>
            <w:r w:rsidRPr="002C73AB">
              <w:rPr>
                <w:sz w:val="22"/>
                <w:szCs w:val="22"/>
              </w:rPr>
              <w:t xml:space="preserve">a Képviselő-testület </w:t>
            </w:r>
            <w:r w:rsidRPr="002C73AB">
              <w:rPr>
                <w:b/>
                <w:sz w:val="22"/>
                <w:szCs w:val="22"/>
              </w:rPr>
              <w:t>Pénzügyi és Városfejlesztési</w:t>
            </w:r>
            <w:r w:rsidRPr="002C73AB">
              <w:rPr>
                <w:sz w:val="22"/>
                <w:szCs w:val="22"/>
              </w:rPr>
              <w:t xml:space="preserve"> Bizottsága</w:t>
            </w:r>
          </w:p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</w:pPr>
            <w:r w:rsidRPr="002C73AB">
              <w:rPr>
                <w:sz w:val="22"/>
                <w:szCs w:val="22"/>
              </w:rPr>
              <w:t>részére</w:t>
            </w:r>
          </w:p>
        </w:tc>
      </w:tr>
      <w:tr w:rsidR="00877375" w:rsidRPr="002C73AB" w:rsidTr="00D056FA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</w:pPr>
            <w:r w:rsidRPr="002C73A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77375" w:rsidRPr="002C73AB" w:rsidRDefault="00877375" w:rsidP="00D056FA">
            <w:pPr>
              <w:autoSpaceDE w:val="0"/>
              <w:autoSpaceDN w:val="0"/>
              <w:adjustRightInd w:val="0"/>
              <w:jc w:val="right"/>
            </w:pPr>
            <w:r w:rsidRPr="002C73AB">
              <w:rPr>
                <w:sz w:val="22"/>
                <w:szCs w:val="22"/>
              </w:rPr>
              <w:t>201</w:t>
            </w:r>
            <w:r w:rsidR="00BB6DE9">
              <w:rPr>
                <w:sz w:val="22"/>
                <w:szCs w:val="22"/>
              </w:rPr>
              <w:t>5. március 27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21FC8" w:rsidRPr="00421FC8" w:rsidRDefault="00421FC8" w:rsidP="00421FC8">
      <w:pPr>
        <w:rPr>
          <w:b/>
        </w:rPr>
      </w:pPr>
    </w:p>
    <w:p w:rsidR="00421FC8" w:rsidRDefault="00421FC8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Default="00877375" w:rsidP="00421FC8">
      <w:pPr>
        <w:jc w:val="both"/>
        <w:rPr>
          <w:b/>
          <w:sz w:val="20"/>
          <w:szCs w:val="20"/>
        </w:rPr>
      </w:pPr>
    </w:p>
    <w:p w:rsidR="00877375" w:rsidRPr="00E41362" w:rsidRDefault="00877375" w:rsidP="00421FC8">
      <w:pPr>
        <w:jc w:val="both"/>
        <w:rPr>
          <w:b/>
          <w:sz w:val="20"/>
          <w:szCs w:val="20"/>
        </w:rPr>
      </w:pPr>
    </w:p>
    <w:p w:rsidR="00421FC8" w:rsidRPr="00877375" w:rsidRDefault="00421FC8" w:rsidP="00421FC8">
      <w:pPr>
        <w:jc w:val="both"/>
        <w:rPr>
          <w:b/>
          <w:sz w:val="22"/>
          <w:szCs w:val="22"/>
        </w:rPr>
      </w:pPr>
      <w:r w:rsidRPr="00877375">
        <w:rPr>
          <w:b/>
          <w:sz w:val="22"/>
          <w:szCs w:val="22"/>
        </w:rPr>
        <w:t xml:space="preserve">Tisztelt </w:t>
      </w:r>
      <w:r w:rsidRPr="00877375">
        <w:rPr>
          <w:b/>
          <w:color w:val="000000" w:themeColor="text1"/>
          <w:sz w:val="22"/>
          <w:szCs w:val="22"/>
        </w:rPr>
        <w:t>Képviselő-testület</w:t>
      </w:r>
      <w:r w:rsidRPr="00877375">
        <w:rPr>
          <w:b/>
          <w:sz w:val="22"/>
          <w:szCs w:val="22"/>
        </w:rPr>
        <w:t>!</w:t>
      </w:r>
    </w:p>
    <w:p w:rsidR="00421FC8" w:rsidRPr="00877375" w:rsidRDefault="00421FC8" w:rsidP="00421FC8">
      <w:pPr>
        <w:jc w:val="both"/>
        <w:rPr>
          <w:b/>
          <w:bCs/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sz w:val="22"/>
          <w:szCs w:val="22"/>
        </w:rPr>
        <w:t>A</w:t>
      </w:r>
      <w:r w:rsidR="00A4627B" w:rsidRPr="00877375">
        <w:rPr>
          <w:sz w:val="22"/>
          <w:szCs w:val="22"/>
        </w:rPr>
        <w:t xml:space="preserve"> </w:t>
      </w:r>
      <w:proofErr w:type="spellStart"/>
      <w:r w:rsidRPr="00877375">
        <w:rPr>
          <w:sz w:val="22"/>
          <w:szCs w:val="22"/>
        </w:rPr>
        <w:t>Szolnok-Abony-Szajol-Rákóczifalva</w:t>
      </w:r>
      <w:proofErr w:type="spellEnd"/>
      <w:r w:rsidRPr="00877375">
        <w:rPr>
          <w:sz w:val="22"/>
          <w:szCs w:val="22"/>
        </w:rPr>
        <w:t xml:space="preserve"> települési szilárd hulladéklerakói rekultivációjának Önkormányzati Társulása (továbbiakban</w:t>
      </w:r>
      <w:r w:rsidR="00FD589D" w:rsidRPr="00877375">
        <w:rPr>
          <w:sz w:val="22"/>
          <w:szCs w:val="22"/>
        </w:rPr>
        <w:t>:</w:t>
      </w:r>
      <w:r w:rsidRPr="00877375">
        <w:rPr>
          <w:sz w:val="22"/>
          <w:szCs w:val="22"/>
        </w:rPr>
        <w:t xml:space="preserve"> </w:t>
      </w:r>
      <w:r w:rsidRPr="00877375">
        <w:rPr>
          <w:b/>
          <w:sz w:val="22"/>
          <w:szCs w:val="22"/>
        </w:rPr>
        <w:t>Társulás</w:t>
      </w:r>
      <w:r w:rsidRPr="00877375">
        <w:rPr>
          <w:sz w:val="22"/>
          <w:szCs w:val="22"/>
        </w:rPr>
        <w:t xml:space="preserve">) </w:t>
      </w:r>
      <w:proofErr w:type="gramStart"/>
      <w:r w:rsidRPr="00877375">
        <w:rPr>
          <w:sz w:val="22"/>
          <w:szCs w:val="22"/>
        </w:rPr>
        <w:t>2013.</w:t>
      </w:r>
      <w:r w:rsidR="00877375">
        <w:rPr>
          <w:sz w:val="22"/>
          <w:szCs w:val="22"/>
        </w:rPr>
        <w:t xml:space="preserve"> </w:t>
      </w:r>
      <w:r w:rsidRPr="00877375">
        <w:rPr>
          <w:sz w:val="22"/>
          <w:szCs w:val="22"/>
        </w:rPr>
        <w:t xml:space="preserve"> júniusában</w:t>
      </w:r>
      <w:proofErr w:type="gramEnd"/>
      <w:r w:rsidRPr="00877375">
        <w:rPr>
          <w:sz w:val="22"/>
          <w:szCs w:val="22"/>
        </w:rPr>
        <w:t xml:space="preserve"> sikeres pályázatot nyújtott be a </w:t>
      </w:r>
      <w:r w:rsidRPr="00877375">
        <w:rPr>
          <w:bCs/>
          <w:sz w:val="22"/>
          <w:szCs w:val="22"/>
        </w:rPr>
        <w:t xml:space="preserve">KEOP-1.1.1/C/13 kódszámú, „Települési szilárdhulladék-gazdálkodási rendszerek eszközparkjának fejlesztése, informatikai korszerűsítése” címmel. </w:t>
      </w:r>
      <w:r w:rsidRPr="00877375">
        <w:rPr>
          <w:sz w:val="22"/>
          <w:szCs w:val="22"/>
        </w:rPr>
        <w:t>Az elfogadott elszámolható összköltség: 1.775.800.000,- Ft. A támogatási intenzitás 95 %-os.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Cs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bCs/>
          <w:sz w:val="22"/>
          <w:szCs w:val="22"/>
        </w:rPr>
        <w:t xml:space="preserve">A pályázat keretében annak megvalósítása révén a tagönkormányzatok jogszabályban előírt kötelezettségüket tudják teljesíteni, így különösen </w:t>
      </w:r>
      <w:r w:rsidRPr="00877375">
        <w:rPr>
          <w:sz w:val="22"/>
          <w:szCs w:val="22"/>
        </w:rPr>
        <w:t xml:space="preserve">a házhoz menő szelektív hulladékgyűjtés kiépítésére kerülne sor, mely gyűjtő járművek, műanyag hulladékgyűjtő edények beszerzésével biztosítható.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sz w:val="22"/>
          <w:szCs w:val="22"/>
        </w:rPr>
        <w:t xml:space="preserve">A projekt további fontos célja, hogy a maradék hulladékok lerakás előtti kezelése biztosított legyen, ebből a célból mobil feldolgozósor beszerzésére kerülne sor, ami lehetővé teszi, hogy a </w:t>
      </w:r>
      <w:proofErr w:type="spellStart"/>
      <w:r w:rsidRPr="00877375">
        <w:rPr>
          <w:sz w:val="22"/>
          <w:szCs w:val="22"/>
        </w:rPr>
        <w:t>kétpói</w:t>
      </w:r>
      <w:proofErr w:type="spellEnd"/>
      <w:r w:rsidRPr="00877375">
        <w:rPr>
          <w:sz w:val="22"/>
          <w:szCs w:val="22"/>
        </w:rPr>
        <w:t xml:space="preserve"> depóniára kevesebb hulladék kerüljön lerakásra, így kevesebb lerakási járulékot kell fizetnie az NHSZ Kétpó Kft-nek.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7375">
        <w:rPr>
          <w:sz w:val="22"/>
          <w:szCs w:val="22"/>
        </w:rPr>
        <w:t xml:space="preserve">A projekt részeként széles körű szemléletformálási kampányban mutatják be a házhoz menő szelektív hulladékgyűjtéshez szükséges ismeretek átadását, a helyes hulladékgazdálkodási gyakorlat elterjesztését.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sz w:val="22"/>
          <w:szCs w:val="22"/>
        </w:rPr>
        <w:t>A logisztikai rendszer fejlesztését járatoptimalizálás elvégzése egészítené ki, a napi működési feladatok biztosítása érdekében pedig a vállalatirányítási rendszer fejlesztésére kerülne sor.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A projektben beszerzendő eszközök listáját az alábbi táblázat tartalamazza: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tbl>
      <w:tblPr>
        <w:tblW w:w="8363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27"/>
        <w:gridCol w:w="709"/>
        <w:gridCol w:w="1134"/>
        <w:gridCol w:w="2693"/>
      </w:tblGrid>
      <w:tr w:rsidR="00421FC8" w:rsidRPr="00877375" w:rsidTr="006F30E2">
        <w:trPr>
          <w:tblHeader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Létesítmény, eszköz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Darab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Kapacitás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Kapacitás mértékegysége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Előkezelés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ind w:firstLineChars="1" w:firstLine="2"/>
            </w:pPr>
            <w:r w:rsidRPr="00877375">
              <w:rPr>
                <w:sz w:val="22"/>
                <w:szCs w:val="22"/>
              </w:rPr>
              <w:t>Mechanikai előkezelő - mobil kivitel az alábbiak szerint: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45000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tonna/év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4"/>
              </w:numPr>
              <w:ind w:left="214" w:hanging="214"/>
            </w:pPr>
            <w:r w:rsidRPr="00877375">
              <w:rPr>
                <w:sz w:val="22"/>
                <w:szCs w:val="22"/>
              </w:rPr>
              <w:t xml:space="preserve">mobil előaprító gép mágneses szeparátorral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5"/>
              </w:numPr>
              <w:ind w:left="214" w:hanging="214"/>
            </w:pPr>
            <w:r w:rsidRPr="00877375">
              <w:rPr>
                <w:sz w:val="22"/>
                <w:szCs w:val="22"/>
              </w:rPr>
              <w:t>mobil dobrosta/szita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3"/>
              </w:numPr>
              <w:ind w:left="214" w:hanging="214"/>
            </w:pPr>
            <w:r w:rsidRPr="00877375">
              <w:rPr>
                <w:sz w:val="22"/>
                <w:szCs w:val="22"/>
              </w:rPr>
              <w:t xml:space="preserve">2 frakciós légszeparátor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421FC8">
            <w:pPr>
              <w:pStyle w:val="Listaszerbekezds"/>
              <w:numPr>
                <w:ilvl w:val="0"/>
                <w:numId w:val="3"/>
              </w:numPr>
              <w:ind w:left="214" w:hanging="214"/>
            </w:pPr>
            <w:r w:rsidRPr="00877375">
              <w:rPr>
                <w:sz w:val="22"/>
                <w:szCs w:val="22"/>
              </w:rPr>
              <w:t xml:space="preserve">utóaprító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tonna/óra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Gyűjtő járművek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 xml:space="preserve">Kéttengelyes darus 16 m3-es </w:t>
            </w:r>
            <w:proofErr w:type="spellStart"/>
            <w:r w:rsidRPr="00877375">
              <w:rPr>
                <w:sz w:val="22"/>
                <w:szCs w:val="22"/>
              </w:rPr>
              <w:t>tömörítőlapos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m3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Járatoptimalizálás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NR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NR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Vállalatirányítás fejlesztése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NR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NR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Lerakó kihasználtság növelés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roofErr w:type="spellStart"/>
            <w:r w:rsidRPr="00877375">
              <w:rPr>
                <w:sz w:val="22"/>
                <w:szCs w:val="22"/>
              </w:rPr>
              <w:t>Kompaktor</w:t>
            </w:r>
            <w:proofErr w:type="spellEnd"/>
            <w:r w:rsidRPr="008773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min. saját üzemkész tömeg (t)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Homlokrakodó mechanikai előkezelőhöz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min teljesítmény (kW)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Edények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877375">
            <w:pPr>
              <w:ind w:leftChars="-29" w:left="7" w:hangingChars="35" w:hanging="77"/>
            </w:pPr>
            <w:r w:rsidRPr="00877375">
              <w:rPr>
                <w:sz w:val="22"/>
                <w:szCs w:val="22"/>
              </w:rPr>
              <w:t>Szelektív gyűjtőedények 120 literes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liter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877375">
            <w:pPr>
              <w:ind w:leftChars="-29" w:left="7" w:hangingChars="35" w:hanging="77"/>
            </w:pPr>
            <w:r w:rsidRPr="00877375">
              <w:rPr>
                <w:sz w:val="22"/>
                <w:szCs w:val="22"/>
              </w:rPr>
              <w:t>Szelektív gyűjtőedények 1,1 m3-es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m3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Egyéb eszközök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rPr>
                <w:b/>
                <w:bCs/>
              </w:rPr>
            </w:pPr>
            <w:r w:rsidRPr="008773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 xml:space="preserve">Komposztforgató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min. m3/h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>15 m3-es nyitott görgős konténer DIN 30722 szabványt kielégítő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m3</w:t>
            </w:r>
          </w:p>
        </w:tc>
      </w:tr>
      <w:tr w:rsidR="00421FC8" w:rsidRPr="00877375" w:rsidTr="006F30E2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t xml:space="preserve">Préskonténer tömörítő fej DIN 30722 </w:t>
            </w:r>
            <w:r w:rsidRPr="00877375">
              <w:rPr>
                <w:sz w:val="22"/>
                <w:szCs w:val="22"/>
              </w:rPr>
              <w:lastRenderedPageBreak/>
              <w:t>szabvány szerinti konténerekhez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</w:p>
        </w:tc>
      </w:tr>
      <w:tr w:rsidR="00421FC8" w:rsidRPr="00877375" w:rsidTr="006F30E2">
        <w:trPr>
          <w:trHeight w:val="61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r w:rsidRPr="00877375">
              <w:rPr>
                <w:sz w:val="22"/>
                <w:szCs w:val="22"/>
              </w:rPr>
              <w:lastRenderedPageBreak/>
              <w:t xml:space="preserve">préskonténer minimum </w:t>
            </w:r>
          </w:p>
          <w:p w:rsidR="00421FC8" w:rsidRPr="00877375" w:rsidRDefault="00421FC8" w:rsidP="006F30E2">
            <w:r w:rsidRPr="00877375">
              <w:rPr>
                <w:sz w:val="22"/>
                <w:szCs w:val="22"/>
              </w:rPr>
              <w:t>27 m3-es zárt konténer DIN 30722 szabványt kielégítő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right"/>
            </w:pPr>
            <w:r w:rsidRPr="00877375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C8" w:rsidRPr="00877375" w:rsidRDefault="00421FC8" w:rsidP="006F30E2">
            <w:pPr>
              <w:jc w:val="center"/>
            </w:pPr>
            <w:r w:rsidRPr="00877375">
              <w:rPr>
                <w:sz w:val="22"/>
                <w:szCs w:val="22"/>
              </w:rPr>
              <w:t>m3</w:t>
            </w:r>
          </w:p>
        </w:tc>
      </w:tr>
    </w:tbl>
    <w:p w:rsidR="00421FC8" w:rsidRPr="00877375" w:rsidRDefault="00421FC8" w:rsidP="00421FC8">
      <w:pPr>
        <w:pStyle w:val="Listaszerbekezds"/>
        <w:ind w:left="567"/>
        <w:rPr>
          <w:noProof/>
          <w:sz w:val="22"/>
          <w:szCs w:val="22"/>
        </w:rPr>
      </w:pP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>ATársulási Tanács 2014. december 15-ei ülésén döntött arról</w:t>
      </w:r>
      <w:r w:rsidRPr="00877375">
        <w:rPr>
          <w:sz w:val="22"/>
          <w:szCs w:val="22"/>
        </w:rPr>
        <w:t xml:space="preserve">, hogy a pályázat során a támogatással </w:t>
      </w:r>
      <w:r w:rsidRPr="00877375">
        <w:rPr>
          <w:b/>
          <w:sz w:val="22"/>
          <w:szCs w:val="22"/>
        </w:rPr>
        <w:t>megvalósuló eszközökkel ellenérték fejében történő hasznosításba adás útján gazdálkodik</w:t>
      </w:r>
      <w:r w:rsidRPr="00877375">
        <w:rPr>
          <w:sz w:val="22"/>
          <w:szCs w:val="22"/>
        </w:rPr>
        <w:t xml:space="preserve">, azonban a </w:t>
      </w:r>
      <w:r w:rsidRPr="00877375">
        <w:rPr>
          <w:b/>
          <w:sz w:val="22"/>
          <w:szCs w:val="22"/>
        </w:rPr>
        <w:t>hullad</w:t>
      </w:r>
      <w:r w:rsidRPr="00877375">
        <w:rPr>
          <w:b/>
          <w:noProof/>
          <w:sz w:val="22"/>
          <w:szCs w:val="22"/>
        </w:rPr>
        <w:t>é</w:t>
      </w:r>
      <w:r w:rsidRPr="00877375">
        <w:rPr>
          <w:b/>
          <w:sz w:val="22"/>
          <w:szCs w:val="22"/>
        </w:rPr>
        <w:t>kgazdálkodási közszolgáltatást</w:t>
      </w:r>
      <w:r w:rsidRPr="00877375">
        <w:rPr>
          <w:sz w:val="22"/>
          <w:szCs w:val="22"/>
        </w:rPr>
        <w:t xml:space="preserve"> – ezen belül a szelektív hullad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kgyűjt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st – az egyes </w:t>
      </w:r>
      <w:r w:rsidRPr="00877375">
        <w:rPr>
          <w:b/>
          <w:sz w:val="22"/>
          <w:szCs w:val="22"/>
        </w:rPr>
        <w:t>tagönkormányzatok</w:t>
      </w:r>
      <w:r w:rsidRPr="00877375">
        <w:rPr>
          <w:sz w:val="22"/>
          <w:szCs w:val="22"/>
        </w:rPr>
        <w:t xml:space="preserve"> dönt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seik alapján </w:t>
      </w:r>
      <w:r w:rsidRPr="00877375">
        <w:rPr>
          <w:b/>
          <w:sz w:val="22"/>
          <w:szCs w:val="22"/>
        </w:rPr>
        <w:t>saját maguk szervez</w:t>
      </w:r>
      <w:r w:rsidRPr="00877375">
        <w:rPr>
          <w:b/>
          <w:noProof/>
          <w:sz w:val="22"/>
          <w:szCs w:val="22"/>
        </w:rPr>
        <w:t>é</w:t>
      </w:r>
      <w:r w:rsidRPr="00877375">
        <w:rPr>
          <w:b/>
          <w:sz w:val="22"/>
          <w:szCs w:val="22"/>
        </w:rPr>
        <w:t>sben látják el</w:t>
      </w:r>
      <w:r w:rsidRPr="00877375">
        <w:rPr>
          <w:sz w:val="22"/>
          <w:szCs w:val="22"/>
        </w:rPr>
        <w:t>, illetőleg ig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nyük szerint a Társulás többs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gi tulajdonában l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vő c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g útján is elláthatják.</w:t>
      </w:r>
    </w:p>
    <w:p w:rsidR="00421FC8" w:rsidRPr="00877375" w:rsidRDefault="00421FC8" w:rsidP="00421FC8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  <w:r w:rsidRPr="00877375">
        <w:rPr>
          <w:sz w:val="22"/>
          <w:szCs w:val="22"/>
        </w:rPr>
        <w:t>A dönt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snek megfelelően, </w:t>
      </w:r>
      <w:r w:rsidRPr="00877375">
        <w:rPr>
          <w:noProof/>
          <w:sz w:val="22"/>
          <w:szCs w:val="22"/>
        </w:rPr>
        <w:t>közbeszerzési eljárás eredményeképpen a szerződés 2015.01.08. napján</w:t>
      </w:r>
      <w:r w:rsidRPr="00877375">
        <w:rPr>
          <w:b/>
          <w:noProof/>
          <w:sz w:val="22"/>
          <w:szCs w:val="22"/>
        </w:rPr>
        <w:t xml:space="preserve"> az NHSZ Kétpó Kft-vel aláírásra került</w:t>
      </w:r>
      <w:r w:rsidRPr="00877375">
        <w:rPr>
          <w:noProof/>
          <w:sz w:val="22"/>
          <w:szCs w:val="22"/>
        </w:rPr>
        <w:t xml:space="preserve">. </w:t>
      </w:r>
      <w:r w:rsidRPr="00877375">
        <w:rPr>
          <w:sz w:val="22"/>
          <w:szCs w:val="22"/>
        </w:rPr>
        <w:t xml:space="preserve">A </w:t>
      </w:r>
      <w:r w:rsidRPr="00877375">
        <w:rPr>
          <w:b/>
          <w:sz w:val="22"/>
          <w:szCs w:val="22"/>
        </w:rPr>
        <w:t>hasznosítás magában foglalja</w:t>
      </w:r>
      <w:r w:rsidRPr="00877375">
        <w:rPr>
          <w:sz w:val="22"/>
          <w:szCs w:val="22"/>
        </w:rPr>
        <w:t xml:space="preserve"> - a mindenkor hatályos jogszabályokon túl – különösen az alábbi feladatokat is: 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mechanikai előkezeléssel kapcsolatos eszközök</w:t>
      </w:r>
      <w:r w:rsidRPr="00877375">
        <w:rPr>
          <w:color w:val="auto"/>
          <w:sz w:val="22"/>
          <w:szCs w:val="22"/>
        </w:rPr>
        <w:t xml:space="preserve"> tekintetében: </w:t>
      </w:r>
    </w:p>
    <w:p w:rsidR="00421FC8" w:rsidRPr="00877375" w:rsidRDefault="00421FC8" w:rsidP="00421FC8">
      <w:pPr>
        <w:pStyle w:val="Default"/>
        <w:ind w:left="9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</w:rPr>
        <w:t>A települési vegyes hulladék mechanikai előkezelésére előírt lépések figyelembevétele.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hulladékgazdálkodási információs rendszert és a járatoptimalizálást</w:t>
      </w:r>
      <w:r w:rsidRPr="00877375">
        <w:rPr>
          <w:color w:val="auto"/>
          <w:sz w:val="22"/>
          <w:szCs w:val="22"/>
        </w:rPr>
        <w:t xml:space="preserve">, valamint a házhoz menő szelektív rendszert képező eszközök tekintetében: egyéb rendszerekhez történő kapcsolódás megteremtése. 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ellenőrzési feladatok</w:t>
      </w:r>
      <w:r w:rsidRPr="00877375">
        <w:rPr>
          <w:color w:val="auto"/>
          <w:sz w:val="22"/>
          <w:szCs w:val="22"/>
        </w:rPr>
        <w:t xml:space="preserve"> ellátása;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>felelős, költséghatékony eszközgazdálkodás</w:t>
      </w:r>
      <w:r w:rsidRPr="00877375">
        <w:rPr>
          <w:color w:val="auto"/>
          <w:sz w:val="22"/>
          <w:szCs w:val="22"/>
        </w:rPr>
        <w:t xml:space="preserve"> felügyelete;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</w:rPr>
        <w:t xml:space="preserve">a </w:t>
      </w:r>
      <w:r w:rsidRPr="00877375">
        <w:rPr>
          <w:color w:val="auto"/>
          <w:sz w:val="22"/>
          <w:szCs w:val="22"/>
          <w:u w:val="single"/>
        </w:rPr>
        <w:t>fejlesztéshez és felújításhoz kapcsolódó feladatok</w:t>
      </w:r>
      <w:r w:rsidRPr="00877375">
        <w:rPr>
          <w:color w:val="auto"/>
          <w:sz w:val="22"/>
          <w:szCs w:val="22"/>
        </w:rPr>
        <w:t>, továbbá</w:t>
      </w:r>
    </w:p>
    <w:p w:rsidR="00421FC8" w:rsidRPr="00877375" w:rsidRDefault="00421FC8" w:rsidP="00421FC8">
      <w:pPr>
        <w:pStyle w:val="Default"/>
        <w:numPr>
          <w:ilvl w:val="0"/>
          <w:numId w:val="6"/>
        </w:numPr>
        <w:spacing w:after="27"/>
        <w:jc w:val="both"/>
        <w:rPr>
          <w:color w:val="auto"/>
          <w:sz w:val="22"/>
          <w:szCs w:val="22"/>
        </w:rPr>
      </w:pPr>
      <w:r w:rsidRPr="00877375">
        <w:rPr>
          <w:color w:val="auto"/>
          <w:sz w:val="22"/>
          <w:szCs w:val="22"/>
          <w:u w:val="single"/>
        </w:rPr>
        <w:t xml:space="preserve">eszközök </w:t>
      </w:r>
      <w:proofErr w:type="gramStart"/>
      <w:r w:rsidRPr="00877375">
        <w:rPr>
          <w:color w:val="auto"/>
          <w:sz w:val="22"/>
          <w:szCs w:val="22"/>
          <w:u w:val="single"/>
        </w:rPr>
        <w:t>közszolgáltató(</w:t>
      </w:r>
      <w:proofErr w:type="gramEnd"/>
      <w:r w:rsidRPr="00877375">
        <w:rPr>
          <w:color w:val="auto"/>
          <w:sz w:val="22"/>
          <w:szCs w:val="22"/>
          <w:u w:val="single"/>
        </w:rPr>
        <w:t>k) részére történő rendelkezésre bocsátása</w:t>
      </w:r>
      <w:r w:rsidRPr="00877375">
        <w:rPr>
          <w:color w:val="auto"/>
          <w:sz w:val="22"/>
          <w:szCs w:val="22"/>
        </w:rPr>
        <w:t>, erről a Társulás nevében a vonatkozó szerződés(</w:t>
      </w:r>
      <w:proofErr w:type="spellStart"/>
      <w:r w:rsidRPr="00877375">
        <w:rPr>
          <w:color w:val="auto"/>
          <w:sz w:val="22"/>
          <w:szCs w:val="22"/>
        </w:rPr>
        <w:t>ek</w:t>
      </w:r>
      <w:proofErr w:type="spellEnd"/>
      <w:r w:rsidRPr="00877375">
        <w:rPr>
          <w:color w:val="auto"/>
          <w:sz w:val="22"/>
          <w:szCs w:val="22"/>
        </w:rPr>
        <w:t>) megkötése a Társulás által meghatározott vonatkozó feltételek, döntések alapján.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A szemléletformáló tevékenység, a nyilvánosság biztosítására, a projektmenedzsmenti tevékenység, és a közbeszerzési feldatok ellátására a szerződések már megkötésre kerültek. </w:t>
      </w:r>
    </w:p>
    <w:p w:rsidR="00421FC8" w:rsidRPr="00877375" w:rsidRDefault="00421FC8" w:rsidP="00421FC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Jelenleg az eszközbeszerzésre irányuló közbeszerzési eljárás van folyamatban, mely tartalmazza mint I. rész az eszközök beszerzését, és mint II. rész a vállalatirányítási rendszer és optimalizált logisztikai adatbázis szállítását. Az ajánlatok bontásának eredményeképpen az I. rész tekintetében a nettó 1.648.600.000,-Ft </w:t>
      </w:r>
      <w:r w:rsidRPr="00877375">
        <w:rPr>
          <w:b/>
          <w:noProof/>
          <w:sz w:val="22"/>
          <w:szCs w:val="22"/>
        </w:rPr>
        <w:t>becsült értékként meghatározott rendelkezésre álló forrást mindkét ajánlat meghaladta</w:t>
      </w:r>
      <w:r w:rsidRPr="00877375">
        <w:rPr>
          <w:noProof/>
          <w:sz w:val="22"/>
          <w:szCs w:val="22"/>
        </w:rPr>
        <w:t xml:space="preserve">.A II. rész tekintetében a nettó 75.000.000,-Ft becsült értéket nem meghaladó ajánlatok érkeztek.A fentiek okán a </w:t>
      </w:r>
      <w:r w:rsidRPr="00877375">
        <w:rPr>
          <w:b/>
          <w:noProof/>
          <w:sz w:val="22"/>
          <w:szCs w:val="22"/>
        </w:rPr>
        <w:t>Társulás kérelemmel fordult a Támogató felé</w:t>
      </w:r>
      <w:r w:rsidRPr="00877375">
        <w:rPr>
          <w:noProof/>
          <w:sz w:val="22"/>
          <w:szCs w:val="22"/>
        </w:rPr>
        <w:t xml:space="preserve"> annak érdekében, hogy engedélyezzék a Támogatási Szerződés módosítását - a 4/2011 (I.28) Korm.rendelet 61./A §.-ban rögzítetteknek megfelelően - </w:t>
      </w:r>
      <w:r w:rsidRPr="00877375">
        <w:rPr>
          <w:b/>
          <w:noProof/>
          <w:sz w:val="22"/>
          <w:szCs w:val="22"/>
        </w:rPr>
        <w:t>költségemelés iránti igény</w:t>
      </w:r>
      <w:r w:rsidRPr="00877375">
        <w:rPr>
          <w:noProof/>
          <w:sz w:val="22"/>
          <w:szCs w:val="22"/>
        </w:rPr>
        <w:t xml:space="preserve"> miatt.</w:t>
      </w:r>
    </w:p>
    <w:p w:rsidR="00421FC8" w:rsidRDefault="00421FC8" w:rsidP="00421FC8">
      <w:pPr>
        <w:autoSpaceDE w:val="0"/>
        <w:autoSpaceDN w:val="0"/>
        <w:adjustRightInd w:val="0"/>
        <w:ind w:firstLine="708"/>
        <w:jc w:val="both"/>
        <w:rPr>
          <w:noProof/>
          <w:sz w:val="22"/>
          <w:szCs w:val="22"/>
        </w:rPr>
      </w:pPr>
      <w:r w:rsidRPr="00877375">
        <w:rPr>
          <w:noProof/>
          <w:sz w:val="22"/>
          <w:szCs w:val="22"/>
        </w:rPr>
        <w:t xml:space="preserve">Ezzel egyidejűleg </w:t>
      </w:r>
      <w:r w:rsidRPr="00877375">
        <w:rPr>
          <w:b/>
          <w:noProof/>
          <w:sz w:val="22"/>
          <w:szCs w:val="22"/>
        </w:rPr>
        <w:t>kezdeményezte</w:t>
      </w:r>
      <w:r w:rsidRPr="00877375">
        <w:rPr>
          <w:noProof/>
          <w:sz w:val="22"/>
          <w:szCs w:val="22"/>
        </w:rPr>
        <w:t xml:space="preserve"> a Támogatási Szerződés módosítását is, melyben a támogatási összeg megemelésén túl, a projekt </w:t>
      </w:r>
      <w:r w:rsidRPr="00877375">
        <w:rPr>
          <w:b/>
          <w:noProof/>
          <w:sz w:val="22"/>
          <w:szCs w:val="22"/>
        </w:rPr>
        <w:t>fizikai megvalósítása időpontjának 2015.10.30-ára történő módosítását</w:t>
      </w:r>
      <w:r w:rsidRPr="00877375">
        <w:rPr>
          <w:noProof/>
          <w:sz w:val="22"/>
          <w:szCs w:val="22"/>
        </w:rPr>
        <w:t xml:space="preserve"> is kérvényezte, figyelemmel a közbeszerzési eljárás eredményes lefolytatásának időszükségletére, valamint az alapján megkötendő szerződésben foglalt teljesítési (szállítási) határidőre. A forrás ráemelési kérelem alapján </w:t>
      </w:r>
      <w:r w:rsidRPr="00877375">
        <w:rPr>
          <w:b/>
          <w:noProof/>
          <w:sz w:val="22"/>
          <w:szCs w:val="22"/>
        </w:rPr>
        <w:t>a Kormány</w:t>
      </w:r>
      <w:r w:rsidRPr="00877375">
        <w:rPr>
          <w:noProof/>
          <w:sz w:val="22"/>
          <w:szCs w:val="22"/>
        </w:rPr>
        <w:t xml:space="preserve">a 1095/2015. (III.5.) Korm. határozatával </w:t>
      </w:r>
      <w:r w:rsidRPr="00877375">
        <w:rPr>
          <w:b/>
          <w:noProof/>
          <w:sz w:val="22"/>
          <w:szCs w:val="22"/>
        </w:rPr>
        <w:t xml:space="preserve">jóváhagyta </w:t>
      </w:r>
      <w:r w:rsidRPr="00877375">
        <w:rPr>
          <w:noProof/>
          <w:sz w:val="22"/>
          <w:szCs w:val="22"/>
        </w:rPr>
        <w:t xml:space="preserve">a </w:t>
      </w:r>
      <w:r w:rsidRPr="00877375">
        <w:rPr>
          <w:b/>
          <w:noProof/>
          <w:sz w:val="22"/>
          <w:szCs w:val="22"/>
        </w:rPr>
        <w:t>Projekt támogatásának növelését s a Támogatási szerződés</w:t>
      </w:r>
      <w:r w:rsidRPr="00877375">
        <w:rPr>
          <w:noProof/>
          <w:sz w:val="22"/>
          <w:szCs w:val="22"/>
        </w:rPr>
        <w:t xml:space="preserve"> módosítását. </w:t>
      </w:r>
    </w:p>
    <w:p w:rsidR="00877375" w:rsidRPr="00877375" w:rsidRDefault="00877375" w:rsidP="00421FC8">
      <w:pPr>
        <w:autoSpaceDE w:val="0"/>
        <w:autoSpaceDN w:val="0"/>
        <w:adjustRightInd w:val="0"/>
        <w:ind w:firstLine="708"/>
        <w:jc w:val="both"/>
        <w:rPr>
          <w:noProof/>
          <w:sz w:val="22"/>
          <w:szCs w:val="22"/>
        </w:rPr>
      </w:pPr>
    </w:p>
    <w:p w:rsidR="00421FC8" w:rsidRPr="00877375" w:rsidRDefault="00421FC8" w:rsidP="00421FC8">
      <w:pPr>
        <w:ind w:firstLine="708"/>
        <w:jc w:val="both"/>
        <w:rPr>
          <w:sz w:val="22"/>
          <w:szCs w:val="22"/>
        </w:rPr>
      </w:pPr>
      <w:proofErr w:type="gramStart"/>
      <w:r w:rsidRPr="00877375">
        <w:rPr>
          <w:sz w:val="22"/>
          <w:szCs w:val="22"/>
        </w:rPr>
        <w:t xml:space="preserve">Mindezek alapján a </w:t>
      </w:r>
      <w:r w:rsidRPr="00877375">
        <w:rPr>
          <w:b/>
          <w:sz w:val="22"/>
          <w:szCs w:val="22"/>
        </w:rPr>
        <w:t>projekt támogatási összege nettó 233.747.500,- Ft-tal növekszik meg</w:t>
      </w:r>
      <w:r w:rsidRPr="00877375">
        <w:rPr>
          <w:sz w:val="22"/>
          <w:szCs w:val="22"/>
        </w:rPr>
        <w:t xml:space="preserve">, (összes támogatás: 1.920.757.500,- Ft), a Társulás által a támogatott tartalomra vonatkozó </w:t>
      </w:r>
      <w:r w:rsidRPr="00877375">
        <w:rPr>
          <w:b/>
          <w:sz w:val="22"/>
          <w:szCs w:val="22"/>
        </w:rPr>
        <w:t>önerő mértéke pedig 12.302.500,- Ft-tal emelkedik</w:t>
      </w:r>
      <w:r w:rsidRPr="00877375">
        <w:rPr>
          <w:sz w:val="22"/>
          <w:szCs w:val="22"/>
        </w:rPr>
        <w:t xml:space="preserve"> (összes támogatott önerő: 101.092.500,- Ft), továbbá a </w:t>
      </w:r>
      <w:r w:rsidRPr="00877375">
        <w:rPr>
          <w:b/>
          <w:sz w:val="22"/>
          <w:szCs w:val="22"/>
        </w:rPr>
        <w:t>nem támogatott ÁFA 66.433.500,- Ft összeggel nő</w:t>
      </w:r>
      <w:r w:rsidRPr="00877375">
        <w:rPr>
          <w:sz w:val="22"/>
          <w:szCs w:val="22"/>
        </w:rPr>
        <w:t xml:space="preserve"> (nem támogatott ÁFA összege: 545.899.500,- Ft).A projekt nettó elszámolható összköltsége 1.775.800.000,- Ft-ról 2.021.850.000,- Ft-ra változik.</w:t>
      </w:r>
      <w:proofErr w:type="gramEnd"/>
    </w:p>
    <w:p w:rsidR="00421FC8" w:rsidRPr="00877375" w:rsidRDefault="00421FC8" w:rsidP="00421FC8">
      <w:pPr>
        <w:ind w:firstLine="708"/>
        <w:jc w:val="both"/>
        <w:rPr>
          <w:sz w:val="22"/>
          <w:szCs w:val="22"/>
        </w:rPr>
      </w:pPr>
      <w:r w:rsidRPr="00877375">
        <w:rPr>
          <w:sz w:val="22"/>
          <w:szCs w:val="22"/>
        </w:rPr>
        <w:t>Az általános forgalmi adóról szóló 2007. évi CXXVII. törvény 1</w:t>
      </w:r>
      <w:r w:rsidR="005A7773" w:rsidRPr="00877375">
        <w:rPr>
          <w:sz w:val="22"/>
          <w:szCs w:val="22"/>
        </w:rPr>
        <w:t>20.§</w:t>
      </w:r>
      <w:proofErr w:type="spellStart"/>
      <w:r w:rsidR="005A7773" w:rsidRPr="00877375">
        <w:rPr>
          <w:sz w:val="22"/>
          <w:szCs w:val="22"/>
        </w:rPr>
        <w:t>-ában</w:t>
      </w:r>
      <w:proofErr w:type="spellEnd"/>
      <w:r w:rsidR="005A7773" w:rsidRPr="00877375">
        <w:rPr>
          <w:sz w:val="22"/>
          <w:szCs w:val="22"/>
        </w:rPr>
        <w:t xml:space="preserve"> foglaltak szerint : „</w:t>
      </w:r>
      <w:r w:rsidRPr="00877375">
        <w:rPr>
          <w:sz w:val="22"/>
          <w:szCs w:val="22"/>
        </w:rPr>
        <w:t xml:space="preserve">Abban a mértékben, amilyen mértékben az adóalany </w:t>
      </w:r>
      <w:r w:rsidR="005A7773" w:rsidRPr="00877375">
        <w:rPr>
          <w:sz w:val="22"/>
          <w:szCs w:val="22"/>
        </w:rPr>
        <w:t>– ilyen minőségében -</w:t>
      </w:r>
      <w:r w:rsidRPr="00877375">
        <w:rPr>
          <w:sz w:val="22"/>
          <w:szCs w:val="22"/>
        </w:rPr>
        <w:t xml:space="preserve"> a terméket, szolgáltatást adóköteles termékértékesítése, szolgáltatás nyújtása érdekében használja, egyéb módon hasznosítja, jogosult arra, hogy az általa fizetendő adóból levonja azt az adót, </w:t>
      </w:r>
      <w:proofErr w:type="gramStart"/>
      <w:r w:rsidRPr="00877375">
        <w:rPr>
          <w:sz w:val="22"/>
          <w:szCs w:val="22"/>
        </w:rPr>
        <w:t>amelyet</w:t>
      </w:r>
      <w:proofErr w:type="gramEnd"/>
      <w:r w:rsidRPr="00877375">
        <w:rPr>
          <w:sz w:val="22"/>
          <w:szCs w:val="22"/>
        </w:rPr>
        <w:t xml:space="preserve"> a termék beszerzéséhet, szolgáltatás igénybe vételéhez kapcsolódóan egy másik adóalany … rá áthárított.</w:t>
      </w:r>
      <w:r w:rsidR="005A7773" w:rsidRPr="00877375">
        <w:rPr>
          <w:sz w:val="22"/>
          <w:szCs w:val="22"/>
        </w:rPr>
        <w:t xml:space="preserve"> </w:t>
      </w:r>
      <w:r w:rsidRPr="00877375">
        <w:rPr>
          <w:sz w:val="22"/>
          <w:szCs w:val="22"/>
        </w:rPr>
        <w:t xml:space="preserve">”Tekintettel arra, hogy a pályázati eszközök használati joga adóköteles bevételként jelentkezik a Társulásban, a fenti </w:t>
      </w:r>
      <w:r w:rsidRPr="00877375">
        <w:rPr>
          <w:sz w:val="22"/>
          <w:szCs w:val="22"/>
        </w:rPr>
        <w:lastRenderedPageBreak/>
        <w:t>törvényi rendelkezés értelmében a bevétel elérése érdekében beszerzett eszközök általános forgalmi adója visszaigényelhető.</w:t>
      </w:r>
    </w:p>
    <w:p w:rsidR="00421FC8" w:rsidRPr="00877375" w:rsidRDefault="00421FC8" w:rsidP="00421FC8">
      <w:pPr>
        <w:ind w:firstLine="708"/>
        <w:jc w:val="both"/>
        <w:rPr>
          <w:sz w:val="22"/>
          <w:szCs w:val="22"/>
        </w:rPr>
      </w:pPr>
      <w:r w:rsidRPr="00877375">
        <w:rPr>
          <w:sz w:val="22"/>
          <w:szCs w:val="22"/>
        </w:rPr>
        <w:t xml:space="preserve">A beszerzések szakaszolása időszakonként megteremti annak a lehetőségét, hogy azonos, vagy hasonló nagyságrendű számlák esetén a meglévő források „forgatásával” a kifizetések biztosíthatók legyenek. Ez a folyamat </w:t>
      </w:r>
      <w:proofErr w:type="gramStart"/>
      <w:r w:rsidRPr="00877375">
        <w:rPr>
          <w:sz w:val="22"/>
          <w:szCs w:val="22"/>
        </w:rPr>
        <w:t>amiatt</w:t>
      </w:r>
      <w:proofErr w:type="gramEnd"/>
      <w:r w:rsidRPr="00877375">
        <w:rPr>
          <w:sz w:val="22"/>
          <w:szCs w:val="22"/>
        </w:rPr>
        <w:t xml:space="preserve"> akadhat el, hogy az adózás rendjéről szóló 2003. évi XCII. törvény kiutalás időpontjára vonatkozó 37.§ (4) bekezdése alapján „Az adózót megillető… visszaigényelt általános forgalmi adót 75 napon belül kell kiutalni.” </w:t>
      </w:r>
    </w:p>
    <w:p w:rsidR="00421FC8" w:rsidRPr="00877375" w:rsidRDefault="00421FC8" w:rsidP="00421FC8">
      <w:pPr>
        <w:ind w:firstLine="708"/>
        <w:jc w:val="both"/>
        <w:rPr>
          <w:b/>
          <w:sz w:val="22"/>
          <w:szCs w:val="22"/>
        </w:rPr>
      </w:pPr>
      <w:r w:rsidRPr="00877375">
        <w:rPr>
          <w:sz w:val="22"/>
          <w:szCs w:val="22"/>
        </w:rPr>
        <w:t xml:space="preserve">Annak érdekében, hogy a kifizetések ütemesen történhessenek és a projekt az előírt határidőn belül befejeződhessen, szükség lesz a visszaigényelt általános forgalmi adó megelőlegezésére. </w:t>
      </w:r>
      <w:r w:rsidRPr="00877375">
        <w:rPr>
          <w:bCs/>
          <w:sz w:val="22"/>
          <w:szCs w:val="22"/>
        </w:rPr>
        <w:t>Mindezekre tekintettel s</w:t>
      </w:r>
      <w:r w:rsidRPr="00877375">
        <w:rPr>
          <w:b/>
          <w:bCs/>
          <w:sz w:val="22"/>
          <w:szCs w:val="22"/>
        </w:rPr>
        <w:t>züks</w:t>
      </w:r>
      <w:r w:rsidRPr="00877375">
        <w:rPr>
          <w:b/>
          <w:sz w:val="22"/>
          <w:szCs w:val="22"/>
        </w:rPr>
        <w:t>é</w:t>
      </w:r>
      <w:r w:rsidRPr="00877375">
        <w:rPr>
          <w:b/>
          <w:bCs/>
          <w:sz w:val="22"/>
          <w:szCs w:val="22"/>
        </w:rPr>
        <w:t>gess</w:t>
      </w:r>
      <w:r w:rsidRPr="00877375">
        <w:rPr>
          <w:b/>
          <w:sz w:val="22"/>
          <w:szCs w:val="22"/>
        </w:rPr>
        <w:t>é</w:t>
      </w:r>
      <w:r w:rsidRPr="00877375">
        <w:rPr>
          <w:b/>
          <w:bCs/>
          <w:sz w:val="22"/>
          <w:szCs w:val="22"/>
        </w:rPr>
        <w:t xml:space="preserve"> vált a naptári éven belül lejáró 250.000.000 Ft mértékű likvid hitel, adósságot keletkeztető ügylet igénybevétele</w:t>
      </w:r>
      <w:r w:rsidRPr="00877375">
        <w:rPr>
          <w:bCs/>
          <w:sz w:val="22"/>
          <w:szCs w:val="22"/>
        </w:rPr>
        <w:t xml:space="preserve">, melyről a Társulás </w:t>
      </w:r>
      <w:r w:rsidRPr="00877375">
        <w:rPr>
          <w:b/>
          <w:bCs/>
          <w:sz w:val="22"/>
          <w:szCs w:val="22"/>
        </w:rPr>
        <w:t>Társulási Tanácsa</w:t>
      </w:r>
      <w:r w:rsidRPr="00877375">
        <w:rPr>
          <w:bCs/>
          <w:sz w:val="22"/>
          <w:szCs w:val="22"/>
        </w:rPr>
        <w:t xml:space="preserve"> a </w:t>
      </w:r>
      <w:r w:rsidRPr="00877375">
        <w:rPr>
          <w:b/>
          <w:bCs/>
          <w:sz w:val="22"/>
          <w:szCs w:val="22"/>
        </w:rPr>
        <w:t>15/</w:t>
      </w:r>
      <w:r w:rsidRPr="00877375">
        <w:rPr>
          <w:b/>
          <w:sz w:val="22"/>
          <w:szCs w:val="22"/>
        </w:rPr>
        <w:t xml:space="preserve">2015. (III.19.) számú határozatában döntött. </w:t>
      </w:r>
      <w:r w:rsidRPr="00877375">
        <w:rPr>
          <w:sz w:val="22"/>
          <w:szCs w:val="22"/>
        </w:rPr>
        <w:t>A 250 milliós folyószámla hitelkeret azt a célt szolgálja, hogy amennyiben a következő fizetési kötelezettség esedékességéig a visszatérülés nem realizálódna, akkor is sor kerülhessen a kiegyenlítésre.</w:t>
      </w:r>
    </w:p>
    <w:p w:rsidR="00421FC8" w:rsidRPr="00877375" w:rsidRDefault="00421FC8" w:rsidP="00421FC8">
      <w:pPr>
        <w:ind w:firstLine="708"/>
        <w:jc w:val="both"/>
        <w:rPr>
          <w:bCs/>
          <w:sz w:val="22"/>
          <w:szCs w:val="22"/>
        </w:rPr>
      </w:pPr>
      <w:r w:rsidRPr="00877375">
        <w:rPr>
          <w:bCs/>
          <w:sz w:val="22"/>
          <w:szCs w:val="22"/>
        </w:rPr>
        <w:t>A likvid hitel felvételét a Magyarország gazdasági stabilitásáról szóló 2011. évi CXCIV. törvény (</w:t>
      </w:r>
      <w:proofErr w:type="spellStart"/>
      <w:r w:rsidRPr="00877375">
        <w:rPr>
          <w:bCs/>
          <w:sz w:val="22"/>
          <w:szCs w:val="22"/>
        </w:rPr>
        <w:t>Gst</w:t>
      </w:r>
      <w:proofErr w:type="spellEnd"/>
      <w:r w:rsidR="005A7773" w:rsidRPr="00877375">
        <w:rPr>
          <w:bCs/>
          <w:sz w:val="22"/>
          <w:szCs w:val="22"/>
        </w:rPr>
        <w:t>.</w:t>
      </w:r>
      <w:r w:rsidRPr="00877375">
        <w:rPr>
          <w:bCs/>
          <w:sz w:val="22"/>
          <w:szCs w:val="22"/>
        </w:rPr>
        <w:t xml:space="preserve">) 10. § (8) bekezdése szerint – az önkormányzati társulás adósságot keletkeztető ügylethez kapcsolódó kötelezettségeinek teljesítését- a </w:t>
      </w:r>
      <w:r w:rsidRPr="00877375">
        <w:rPr>
          <w:b/>
          <w:bCs/>
          <w:sz w:val="22"/>
          <w:szCs w:val="22"/>
        </w:rPr>
        <w:t>társulásban részt vevő önkormányzatok kezességvállalása biztosítja</w:t>
      </w:r>
      <w:r w:rsidRPr="00877375">
        <w:rPr>
          <w:bCs/>
          <w:sz w:val="22"/>
          <w:szCs w:val="22"/>
        </w:rPr>
        <w:t xml:space="preserve">. A </w:t>
      </w:r>
      <w:proofErr w:type="spellStart"/>
      <w:r w:rsidRPr="00877375">
        <w:rPr>
          <w:bCs/>
          <w:sz w:val="22"/>
          <w:szCs w:val="22"/>
        </w:rPr>
        <w:t>Gst</w:t>
      </w:r>
      <w:proofErr w:type="spellEnd"/>
      <w:r w:rsidR="005A7773" w:rsidRPr="00877375">
        <w:rPr>
          <w:bCs/>
          <w:sz w:val="22"/>
          <w:szCs w:val="22"/>
        </w:rPr>
        <w:t>.</w:t>
      </w:r>
      <w:r w:rsidRPr="00877375">
        <w:rPr>
          <w:bCs/>
          <w:sz w:val="22"/>
          <w:szCs w:val="22"/>
        </w:rPr>
        <w:t xml:space="preserve"> szerint a Társulás </w:t>
      </w:r>
      <w:r w:rsidRPr="00877375">
        <w:rPr>
          <w:b/>
          <w:bCs/>
          <w:sz w:val="22"/>
          <w:szCs w:val="22"/>
        </w:rPr>
        <w:t>naptári éven belül lejáró</w:t>
      </w:r>
      <w:r w:rsidRPr="00877375">
        <w:rPr>
          <w:bCs/>
          <w:sz w:val="22"/>
          <w:szCs w:val="22"/>
        </w:rPr>
        <w:t xml:space="preserve"> adósságot keletkeztető ügyletéhez </w:t>
      </w:r>
      <w:r w:rsidRPr="00877375">
        <w:rPr>
          <w:b/>
          <w:bCs/>
          <w:sz w:val="22"/>
          <w:szCs w:val="22"/>
        </w:rPr>
        <w:t>Kormány hozzájárulására</w:t>
      </w:r>
      <w:r w:rsidRPr="00877375">
        <w:rPr>
          <w:bCs/>
          <w:sz w:val="22"/>
          <w:szCs w:val="22"/>
        </w:rPr>
        <w:t xml:space="preserve"> nincs szükség, ill. az éven belüli hitelfelvétel</w:t>
      </w:r>
      <w:r w:rsidR="005A7773" w:rsidRPr="00877375">
        <w:rPr>
          <w:bCs/>
          <w:sz w:val="22"/>
          <w:szCs w:val="22"/>
        </w:rPr>
        <w:t>,</w:t>
      </w:r>
      <w:r w:rsidRPr="00877375">
        <w:rPr>
          <w:bCs/>
          <w:sz w:val="22"/>
          <w:szCs w:val="22"/>
        </w:rPr>
        <w:t xml:space="preserve"> ill. az azt biztosító kezességvállalás a hitel felvételi korlátba nem számít be. A </w:t>
      </w:r>
      <w:r w:rsidRPr="00877375">
        <w:rPr>
          <w:sz w:val="22"/>
          <w:szCs w:val="22"/>
          <w:u w:val="single"/>
        </w:rPr>
        <w:t>Társulás 2015. évi költségvetése</w:t>
      </w:r>
      <w:r w:rsidRPr="00877375">
        <w:rPr>
          <w:sz w:val="22"/>
          <w:szCs w:val="22"/>
        </w:rPr>
        <w:t xml:space="preserve">, valamint annak </w:t>
      </w:r>
      <w:r w:rsidRPr="00877375">
        <w:rPr>
          <w:sz w:val="22"/>
          <w:szCs w:val="22"/>
          <w:u w:val="single"/>
        </w:rPr>
        <w:t>módosítása (előterjesztés melléklete) alapján</w:t>
      </w:r>
      <w:r w:rsidRPr="00877375">
        <w:rPr>
          <w:sz w:val="22"/>
          <w:szCs w:val="22"/>
        </w:rPr>
        <w:t xml:space="preserve"> – tekintettel a Társulás saját bevételeire és az ÁFA visszatérülés 2015. évben történő megvalósulására – </w:t>
      </w:r>
      <w:r w:rsidRPr="00877375">
        <w:rPr>
          <w:sz w:val="22"/>
          <w:szCs w:val="22"/>
          <w:u w:val="single"/>
        </w:rPr>
        <w:t>jelenleg biztosítottnak látszik a hitel visszafizetése</w:t>
      </w:r>
      <w:r w:rsidRPr="00877375">
        <w:rPr>
          <w:sz w:val="22"/>
          <w:szCs w:val="22"/>
        </w:rPr>
        <w:t xml:space="preserve">. </w:t>
      </w:r>
      <w:r w:rsidRPr="00877375">
        <w:rPr>
          <w:bCs/>
          <w:sz w:val="22"/>
          <w:szCs w:val="22"/>
        </w:rPr>
        <w:t>A Társulást alkotó tagönkormányzatokat terhelő kezess</w:t>
      </w:r>
      <w:r w:rsidRPr="00877375">
        <w:rPr>
          <w:sz w:val="22"/>
          <w:szCs w:val="22"/>
        </w:rPr>
        <w:t>é</w:t>
      </w:r>
      <w:r w:rsidRPr="00877375">
        <w:rPr>
          <w:bCs/>
          <w:sz w:val="22"/>
          <w:szCs w:val="22"/>
        </w:rPr>
        <w:t xml:space="preserve">gvállalás tekintetében a kezességvállalás mértékét jelen határozat </w:t>
      </w:r>
      <w:r w:rsidRPr="00877375">
        <w:rPr>
          <w:sz w:val="22"/>
          <w:szCs w:val="22"/>
        </w:rPr>
        <w:t>é</w:t>
      </w:r>
      <w:r w:rsidRPr="00877375">
        <w:rPr>
          <w:bCs/>
          <w:sz w:val="22"/>
          <w:szCs w:val="22"/>
        </w:rPr>
        <w:t>s annak mell</w:t>
      </w:r>
      <w:r w:rsidRPr="00877375">
        <w:rPr>
          <w:sz w:val="22"/>
          <w:szCs w:val="22"/>
        </w:rPr>
        <w:t>é</w:t>
      </w:r>
      <w:r w:rsidRPr="00877375">
        <w:rPr>
          <w:bCs/>
          <w:sz w:val="22"/>
          <w:szCs w:val="22"/>
        </w:rPr>
        <w:t>klete tartalmazza.</w:t>
      </w:r>
    </w:p>
    <w:p w:rsidR="00421FC8" w:rsidRPr="00877375" w:rsidRDefault="00421FC8" w:rsidP="00421FC8">
      <w:pPr>
        <w:ind w:firstLine="708"/>
        <w:jc w:val="both"/>
        <w:rPr>
          <w:bCs/>
          <w:sz w:val="22"/>
          <w:szCs w:val="22"/>
        </w:rPr>
      </w:pPr>
      <w:r w:rsidRPr="00877375">
        <w:rPr>
          <w:bCs/>
          <w:sz w:val="22"/>
          <w:szCs w:val="22"/>
        </w:rPr>
        <w:t xml:space="preserve">Az Áht. 96. § (2) bekezdése szerint a jogszabály eltérő rendelkezése hiányában a </w:t>
      </w:r>
      <w:r w:rsidRPr="00877375">
        <w:rPr>
          <w:b/>
          <w:bCs/>
          <w:sz w:val="22"/>
          <w:szCs w:val="22"/>
        </w:rPr>
        <w:t>kezesség</w:t>
      </w:r>
      <w:r w:rsidRPr="00877375">
        <w:rPr>
          <w:bCs/>
          <w:sz w:val="22"/>
          <w:szCs w:val="22"/>
        </w:rPr>
        <w:t xml:space="preserve">, garancia vállalásának </w:t>
      </w:r>
      <w:r w:rsidRPr="00877375">
        <w:rPr>
          <w:b/>
          <w:bCs/>
          <w:sz w:val="22"/>
          <w:szCs w:val="22"/>
        </w:rPr>
        <w:t>feltétele</w:t>
      </w:r>
      <w:r w:rsidRPr="00877375">
        <w:rPr>
          <w:bCs/>
          <w:sz w:val="22"/>
          <w:szCs w:val="22"/>
        </w:rPr>
        <w:t xml:space="preserve"> az állami támogatási szabályoknak megfelelő, támogatástartalmat nem, vagy azt az állami támogatási szabályokkal összeegyeztethető módon tartalmazó garanciavállalási vagy </w:t>
      </w:r>
      <w:r w:rsidRPr="00877375">
        <w:rPr>
          <w:b/>
          <w:bCs/>
          <w:sz w:val="22"/>
          <w:szCs w:val="22"/>
        </w:rPr>
        <w:t>kezességvállalási díj kikötése</w:t>
      </w:r>
      <w:r w:rsidRPr="00877375">
        <w:rPr>
          <w:bCs/>
          <w:sz w:val="22"/>
          <w:szCs w:val="22"/>
        </w:rPr>
        <w:t xml:space="preserve">. </w:t>
      </w:r>
      <w:r w:rsidRPr="00877375">
        <w:rPr>
          <w:sz w:val="22"/>
          <w:szCs w:val="22"/>
        </w:rPr>
        <w:t>A vonatkozó jogszabályok figyelembev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>tel</w:t>
      </w:r>
      <w:r w:rsidRPr="00877375">
        <w:rPr>
          <w:noProof/>
          <w:sz w:val="22"/>
          <w:szCs w:val="22"/>
        </w:rPr>
        <w:t>é</w:t>
      </w:r>
      <w:r w:rsidRPr="00877375">
        <w:rPr>
          <w:sz w:val="22"/>
          <w:szCs w:val="22"/>
        </w:rPr>
        <w:t xml:space="preserve">vel </w:t>
      </w:r>
      <w:r w:rsidRPr="00877375">
        <w:rPr>
          <w:b/>
          <w:sz w:val="22"/>
          <w:szCs w:val="22"/>
        </w:rPr>
        <w:t xml:space="preserve">javaslom </w:t>
      </w:r>
      <w:r w:rsidRPr="00877375">
        <w:rPr>
          <w:sz w:val="22"/>
          <w:szCs w:val="22"/>
        </w:rPr>
        <w:t xml:space="preserve">az államháztartásról szóló 2011. évi CXCV. törvény 96.§ (2) bekezdés szerinti </w:t>
      </w:r>
      <w:r w:rsidRPr="00877375">
        <w:rPr>
          <w:b/>
          <w:sz w:val="22"/>
          <w:szCs w:val="22"/>
        </w:rPr>
        <w:t>kezességvállalási díj hitel kamattal azonos mértékben</w:t>
      </w:r>
      <w:r w:rsidRPr="00877375">
        <w:rPr>
          <w:sz w:val="22"/>
          <w:szCs w:val="22"/>
        </w:rPr>
        <w:t xml:space="preserve"> tört</w:t>
      </w:r>
      <w:r w:rsidRPr="00877375">
        <w:rPr>
          <w:bCs/>
          <w:sz w:val="22"/>
          <w:szCs w:val="22"/>
        </w:rPr>
        <w:t>é</w:t>
      </w:r>
      <w:r w:rsidRPr="00877375">
        <w:rPr>
          <w:sz w:val="22"/>
          <w:szCs w:val="22"/>
        </w:rPr>
        <w:t>nő meg határozását.</w:t>
      </w:r>
    </w:p>
    <w:p w:rsidR="00421FC8" w:rsidRPr="00877375" w:rsidRDefault="00421FC8" w:rsidP="00421FC8">
      <w:pPr>
        <w:jc w:val="both"/>
        <w:rPr>
          <w:b/>
          <w:bCs/>
          <w:sz w:val="22"/>
          <w:szCs w:val="22"/>
        </w:rPr>
      </w:pPr>
    </w:p>
    <w:p w:rsidR="00421FC8" w:rsidRPr="00877375" w:rsidRDefault="005A7773" w:rsidP="00421FC8">
      <w:pPr>
        <w:jc w:val="both"/>
        <w:rPr>
          <w:b/>
          <w:bCs/>
          <w:sz w:val="22"/>
          <w:szCs w:val="22"/>
        </w:rPr>
      </w:pPr>
      <w:r w:rsidRPr="00877375">
        <w:rPr>
          <w:b/>
          <w:bCs/>
          <w:sz w:val="22"/>
          <w:szCs w:val="22"/>
        </w:rPr>
        <w:t xml:space="preserve">Tisztelt </w:t>
      </w:r>
      <w:r w:rsidR="00421FC8" w:rsidRPr="00877375">
        <w:rPr>
          <w:b/>
          <w:bCs/>
          <w:color w:val="000000" w:themeColor="text1"/>
          <w:sz w:val="22"/>
          <w:szCs w:val="22"/>
        </w:rPr>
        <w:t>Képviselő</w:t>
      </w:r>
      <w:r w:rsidRPr="00877375">
        <w:rPr>
          <w:b/>
          <w:bCs/>
          <w:color w:val="000000" w:themeColor="text1"/>
          <w:sz w:val="22"/>
          <w:szCs w:val="22"/>
        </w:rPr>
        <w:t>-</w:t>
      </w:r>
      <w:r w:rsidR="00421FC8" w:rsidRPr="00877375">
        <w:rPr>
          <w:b/>
          <w:bCs/>
          <w:color w:val="000000" w:themeColor="text1"/>
          <w:sz w:val="22"/>
          <w:szCs w:val="22"/>
        </w:rPr>
        <w:t>testület</w:t>
      </w:r>
      <w:r w:rsidR="00421FC8" w:rsidRPr="00877375">
        <w:rPr>
          <w:b/>
          <w:bCs/>
          <w:sz w:val="22"/>
          <w:szCs w:val="22"/>
        </w:rPr>
        <w:t>!</w:t>
      </w:r>
    </w:p>
    <w:p w:rsidR="00421FC8" w:rsidRPr="00877375" w:rsidRDefault="00421FC8" w:rsidP="00421FC8">
      <w:pPr>
        <w:jc w:val="both"/>
        <w:rPr>
          <w:sz w:val="22"/>
          <w:szCs w:val="22"/>
        </w:rPr>
      </w:pPr>
      <w:r w:rsidRPr="00877375">
        <w:rPr>
          <w:sz w:val="22"/>
          <w:szCs w:val="22"/>
        </w:rPr>
        <w:t>Kérem az előterjesztés megvitatását, valamint a határozat-tervezet elfogadását.</w:t>
      </w:r>
    </w:p>
    <w:p w:rsidR="00E41362" w:rsidRPr="00877375" w:rsidRDefault="00E41362" w:rsidP="00421FC8">
      <w:pPr>
        <w:jc w:val="both"/>
        <w:rPr>
          <w:sz w:val="22"/>
          <w:szCs w:val="22"/>
        </w:rPr>
      </w:pPr>
    </w:p>
    <w:p w:rsidR="00E41362" w:rsidRPr="00877375" w:rsidRDefault="00E41362" w:rsidP="00421FC8">
      <w:pPr>
        <w:jc w:val="both"/>
        <w:rPr>
          <w:sz w:val="22"/>
          <w:szCs w:val="22"/>
        </w:rPr>
      </w:pPr>
    </w:p>
    <w:p w:rsidR="00E41362" w:rsidRPr="00877375" w:rsidRDefault="00E41362" w:rsidP="00421FC8">
      <w:pPr>
        <w:jc w:val="both"/>
        <w:rPr>
          <w:b/>
          <w:sz w:val="22"/>
          <w:szCs w:val="22"/>
        </w:rPr>
      </w:pPr>
      <w:r w:rsidRPr="00877375">
        <w:rPr>
          <w:sz w:val="22"/>
          <w:szCs w:val="22"/>
        </w:rPr>
        <w:t xml:space="preserve">                                                                                                        </w:t>
      </w:r>
      <w:r w:rsidRPr="00877375">
        <w:rPr>
          <w:b/>
          <w:sz w:val="22"/>
          <w:szCs w:val="22"/>
        </w:rPr>
        <w:t>Markót Imre</w:t>
      </w:r>
    </w:p>
    <w:p w:rsidR="00E41362" w:rsidRPr="00877375" w:rsidRDefault="00E41362" w:rsidP="00421FC8">
      <w:pPr>
        <w:jc w:val="both"/>
        <w:rPr>
          <w:sz w:val="22"/>
          <w:szCs w:val="22"/>
        </w:rPr>
      </w:pPr>
      <w:r w:rsidRPr="00877375">
        <w:rPr>
          <w:sz w:val="22"/>
          <w:szCs w:val="22"/>
        </w:rPr>
        <w:t xml:space="preserve">                                                                                                        </w:t>
      </w:r>
      <w:r w:rsidR="00877375">
        <w:rPr>
          <w:sz w:val="22"/>
          <w:szCs w:val="22"/>
        </w:rPr>
        <w:t xml:space="preserve"> </w:t>
      </w:r>
      <w:proofErr w:type="gramStart"/>
      <w:r w:rsidRPr="00877375">
        <w:rPr>
          <w:sz w:val="22"/>
          <w:szCs w:val="22"/>
        </w:rPr>
        <w:t>polgármester</w:t>
      </w:r>
      <w:proofErr w:type="gramEnd"/>
    </w:p>
    <w:p w:rsidR="00421FC8" w:rsidRPr="00877375" w:rsidRDefault="00421FC8" w:rsidP="00421FC8">
      <w:pPr>
        <w:jc w:val="both"/>
        <w:rPr>
          <w:b/>
          <w:bCs/>
          <w:sz w:val="22"/>
          <w:szCs w:val="22"/>
        </w:rPr>
      </w:pPr>
    </w:p>
    <w:p w:rsidR="00421FC8" w:rsidRPr="00877375" w:rsidRDefault="00421FC8" w:rsidP="00421FC8">
      <w:pPr>
        <w:jc w:val="both"/>
        <w:rPr>
          <w:b/>
          <w:sz w:val="22"/>
          <w:szCs w:val="22"/>
        </w:rPr>
      </w:pPr>
    </w:p>
    <w:p w:rsidR="00421FC8" w:rsidRPr="00877375" w:rsidRDefault="00421FC8" w:rsidP="00421FC8">
      <w:pPr>
        <w:jc w:val="both"/>
        <w:rPr>
          <w:b/>
          <w:sz w:val="22"/>
          <w:szCs w:val="22"/>
        </w:rPr>
      </w:pPr>
      <w:r w:rsidRPr="00877375">
        <w:rPr>
          <w:b/>
          <w:sz w:val="22"/>
          <w:szCs w:val="22"/>
        </w:rPr>
        <w:t>…/2015. (</w:t>
      </w:r>
      <w:proofErr w:type="gramStart"/>
      <w:r w:rsidRPr="00877375">
        <w:rPr>
          <w:b/>
          <w:sz w:val="22"/>
          <w:szCs w:val="22"/>
        </w:rPr>
        <w:t>III. .</w:t>
      </w:r>
      <w:proofErr w:type="gramEnd"/>
      <w:r w:rsidRPr="00877375">
        <w:rPr>
          <w:b/>
          <w:sz w:val="22"/>
          <w:szCs w:val="22"/>
        </w:rPr>
        <w:t>..)</w:t>
      </w:r>
      <w:r w:rsidR="00FD589D" w:rsidRPr="00877375">
        <w:rPr>
          <w:b/>
          <w:sz w:val="22"/>
          <w:szCs w:val="22"/>
        </w:rPr>
        <w:t xml:space="preserve"> </w:t>
      </w:r>
      <w:proofErr w:type="spellStart"/>
      <w:r w:rsidR="00FD589D" w:rsidRPr="00877375">
        <w:rPr>
          <w:b/>
          <w:sz w:val="22"/>
          <w:szCs w:val="22"/>
        </w:rPr>
        <w:t>K.t</w:t>
      </w:r>
      <w:proofErr w:type="spellEnd"/>
      <w:r w:rsidR="00FD589D" w:rsidRPr="00877375">
        <w:rPr>
          <w:b/>
          <w:sz w:val="22"/>
          <w:szCs w:val="22"/>
        </w:rPr>
        <w:t xml:space="preserve">. </w:t>
      </w:r>
      <w:bookmarkStart w:id="0" w:name="_GoBack"/>
      <w:bookmarkEnd w:id="0"/>
    </w:p>
    <w:p w:rsidR="005A7773" w:rsidRPr="00877375" w:rsidRDefault="005A7773" w:rsidP="00421FC8">
      <w:pPr>
        <w:jc w:val="both"/>
        <w:rPr>
          <w:b/>
          <w:sz w:val="22"/>
          <w:szCs w:val="22"/>
          <w:u w:val="single"/>
        </w:rPr>
      </w:pPr>
      <w:r w:rsidRPr="00877375">
        <w:rPr>
          <w:b/>
          <w:sz w:val="22"/>
          <w:szCs w:val="22"/>
          <w:u w:val="single"/>
        </w:rPr>
        <w:t>Határozat</w:t>
      </w:r>
    </w:p>
    <w:p w:rsidR="005A7773" w:rsidRPr="00877375" w:rsidRDefault="005A7773" w:rsidP="00421FC8">
      <w:pPr>
        <w:jc w:val="both"/>
        <w:rPr>
          <w:b/>
          <w:sz w:val="22"/>
          <w:szCs w:val="22"/>
        </w:rPr>
      </w:pPr>
    </w:p>
    <w:p w:rsidR="00421FC8" w:rsidRPr="00877375" w:rsidRDefault="005A7773" w:rsidP="00421FC8">
      <w:pPr>
        <w:jc w:val="both"/>
        <w:rPr>
          <w:b/>
          <w:bCs/>
          <w:sz w:val="22"/>
          <w:szCs w:val="22"/>
        </w:rPr>
      </w:pPr>
      <w:r w:rsidRPr="00877375">
        <w:rPr>
          <w:b/>
          <w:sz w:val="22"/>
          <w:szCs w:val="22"/>
        </w:rPr>
        <w:t>A</w:t>
      </w:r>
      <w:r w:rsidR="00421FC8" w:rsidRPr="00877375">
        <w:rPr>
          <w:b/>
          <w:sz w:val="22"/>
          <w:szCs w:val="22"/>
        </w:rPr>
        <w:t xml:space="preserve"> </w:t>
      </w:r>
      <w:proofErr w:type="spellStart"/>
      <w:r w:rsidR="00421FC8" w:rsidRPr="00877375">
        <w:rPr>
          <w:b/>
          <w:sz w:val="22"/>
          <w:szCs w:val="22"/>
        </w:rPr>
        <w:t>Szolnok-Abony-Szajol-Rákóczifalva</w:t>
      </w:r>
      <w:proofErr w:type="spellEnd"/>
      <w:r w:rsidR="00421FC8" w:rsidRPr="00877375">
        <w:rPr>
          <w:b/>
          <w:sz w:val="22"/>
          <w:szCs w:val="22"/>
        </w:rPr>
        <w:t xml:space="preserve"> települési szilárd hulladéklerakói rekultivációjának Önkormányzati Társulása által igénybe veendő, adósságot keletkeztető ügylethez szükséges kezességvállalás biztosításáról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="00421FC8"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>e</w:t>
      </w:r>
      <w:r w:rsidR="00421FC8" w:rsidRPr="00877375">
        <w:rPr>
          <w:rFonts w:ascii="Times New Roman" w:hAnsi="Times New Roman" w:cs="Times New Roman"/>
        </w:rPr>
        <w:t xml:space="preserve"> tudomásul veszi a „Szolnoki térségi regionális hulladékgazdálkodási rendszer fejlesztése eszközbeszerzésekkel” című KEOP-1.1.1/C/13-2013-0015 azonosítószámú pályázat jelenlegi állásáról szóló tájékoztatást.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 xml:space="preserve">e </w:t>
      </w:r>
      <w:r w:rsidR="00421FC8" w:rsidRPr="00877375">
        <w:rPr>
          <w:rFonts w:ascii="Times New Roman" w:hAnsi="Times New Roman" w:cs="Times New Roman"/>
        </w:rPr>
        <w:t xml:space="preserve">tudomásul veszi a </w:t>
      </w:r>
      <w:proofErr w:type="spellStart"/>
      <w:r w:rsidR="00421FC8" w:rsidRPr="00877375">
        <w:rPr>
          <w:rFonts w:ascii="Times New Roman" w:hAnsi="Times New Roman" w:cs="Times New Roman"/>
        </w:rPr>
        <w:t>Szolnok-Abony-Szajol-Rákóczifalva</w:t>
      </w:r>
      <w:proofErr w:type="spellEnd"/>
      <w:r w:rsidR="00421FC8" w:rsidRPr="00877375">
        <w:rPr>
          <w:rFonts w:ascii="Times New Roman" w:hAnsi="Times New Roman" w:cs="Times New Roman"/>
        </w:rPr>
        <w:t xml:space="preserve"> települési szilárd hulladéklerakói rekultivációjának Önkormányzati Társulása </w:t>
      </w:r>
      <w:r w:rsidR="00421FC8" w:rsidRPr="00877375">
        <w:rPr>
          <w:rFonts w:ascii="Times New Roman" w:hAnsi="Times New Roman" w:cs="Times New Roman"/>
          <w:bCs/>
        </w:rPr>
        <w:lastRenderedPageBreak/>
        <w:t>(továbbiakban: Társulás) általi, naptári éven belül lejáró 250.000.000 Ft. összeg mértékű hitel, adósságot keletkeztető ügylet igénybevételét; valamint vállalja (mint a Társulás tagönkormányzata) a tagönkormányzatok egymásra tekintettel vállalt kezességére az ehhez szükséges jelen határozat melléklete szerinti összeg erej</w:t>
      </w:r>
      <w:r w:rsidR="00421FC8" w:rsidRPr="00877375">
        <w:rPr>
          <w:rFonts w:ascii="Times New Roman" w:hAnsi="Times New Roman" w:cs="Times New Roman"/>
        </w:rPr>
        <w:t>é</w:t>
      </w:r>
      <w:r w:rsidR="00421FC8" w:rsidRPr="00877375">
        <w:rPr>
          <w:rFonts w:ascii="Times New Roman" w:hAnsi="Times New Roman" w:cs="Times New Roman"/>
          <w:bCs/>
        </w:rPr>
        <w:t>ig a tagönkormányzatot terhelő kezességvállalás biztosítását.</w:t>
      </w:r>
    </w:p>
    <w:p w:rsidR="00421FC8" w:rsidRPr="00877375" w:rsidRDefault="00421FC8" w:rsidP="00421FC8">
      <w:pPr>
        <w:pStyle w:val="Szvegtrzs"/>
        <w:ind w:left="360"/>
        <w:rPr>
          <w:rFonts w:ascii="Times New Roman" w:hAnsi="Times New Roman" w:cs="Times New Roman"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>e</w:t>
      </w:r>
      <w:r w:rsidR="00421FC8" w:rsidRPr="00877375">
        <w:rPr>
          <w:rFonts w:ascii="Times New Roman" w:hAnsi="Times New Roman" w:cs="Times New Roman"/>
        </w:rPr>
        <w:t xml:space="preserve"> az államháztartásról szóló 2011. évi CXCV. törvény 96.§ (2) bekezdés szerinti kezességvállalási díjat a hitel kamattal azonos mértékben határozza meg, mely a határozat melléklete szerinti kockázatvállalás arányában illeti meg a tagönkormányzatot.</w:t>
      </w:r>
    </w:p>
    <w:p w:rsidR="00421FC8" w:rsidRPr="00877375" w:rsidRDefault="00421FC8" w:rsidP="00421FC8">
      <w:pPr>
        <w:pStyle w:val="Listaszerbekezds"/>
        <w:rPr>
          <w:sz w:val="22"/>
          <w:szCs w:val="22"/>
        </w:rPr>
      </w:pPr>
    </w:p>
    <w:p w:rsidR="00421FC8" w:rsidRPr="00877375" w:rsidRDefault="00471EF1" w:rsidP="00421FC8">
      <w:pPr>
        <w:pStyle w:val="Szvegtrzs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7375">
        <w:rPr>
          <w:rFonts w:ascii="Times New Roman" w:hAnsi="Times New Roman" w:cs="Times New Roman"/>
        </w:rPr>
        <w:t xml:space="preserve">Törökszentmiklós Városi Önkormányzat </w:t>
      </w:r>
      <w:r w:rsidRPr="00877375">
        <w:rPr>
          <w:rFonts w:ascii="Times New Roman" w:hAnsi="Times New Roman" w:cs="Times New Roman"/>
          <w:color w:val="000000" w:themeColor="text1"/>
        </w:rPr>
        <w:t>Képviselő-testület</w:t>
      </w:r>
      <w:r w:rsidRPr="00877375">
        <w:rPr>
          <w:rFonts w:ascii="Times New Roman" w:hAnsi="Times New Roman" w:cs="Times New Roman"/>
        </w:rPr>
        <w:t xml:space="preserve">e felhatalmazza  </w:t>
      </w:r>
      <w:proofErr w:type="gramStart"/>
      <w:r w:rsidRPr="00877375">
        <w:rPr>
          <w:rFonts w:ascii="Times New Roman" w:hAnsi="Times New Roman" w:cs="Times New Roman"/>
        </w:rPr>
        <w:t>Markót</w:t>
      </w:r>
      <w:proofErr w:type="gramEnd"/>
      <w:r w:rsidRPr="00877375">
        <w:rPr>
          <w:rFonts w:ascii="Times New Roman" w:hAnsi="Times New Roman" w:cs="Times New Roman"/>
        </w:rPr>
        <w:t xml:space="preserve"> Imre p</w:t>
      </w:r>
      <w:r w:rsidR="00421FC8" w:rsidRPr="00877375">
        <w:rPr>
          <w:rFonts w:ascii="Times New Roman" w:hAnsi="Times New Roman" w:cs="Times New Roman"/>
        </w:rPr>
        <w:t xml:space="preserve">olgármestert jelen határozat végrehajtásához szükséges intézkedések megtételére, valamennyi </w:t>
      </w:r>
      <w:r w:rsidRPr="00877375">
        <w:rPr>
          <w:rFonts w:ascii="Times New Roman" w:hAnsi="Times New Roman" w:cs="Times New Roman"/>
        </w:rPr>
        <w:t xml:space="preserve">a szükséges </w:t>
      </w:r>
      <w:r w:rsidR="00421FC8" w:rsidRPr="00877375">
        <w:rPr>
          <w:rFonts w:ascii="Times New Roman" w:hAnsi="Times New Roman" w:cs="Times New Roman"/>
        </w:rPr>
        <w:t>dokumentum</w:t>
      </w:r>
      <w:r w:rsidRPr="00877375">
        <w:rPr>
          <w:rFonts w:ascii="Times New Roman" w:hAnsi="Times New Roman" w:cs="Times New Roman"/>
        </w:rPr>
        <w:t>ok</w:t>
      </w:r>
      <w:r w:rsidR="00421FC8" w:rsidRPr="00877375">
        <w:rPr>
          <w:rFonts w:ascii="Times New Roman" w:hAnsi="Times New Roman" w:cs="Times New Roman"/>
        </w:rPr>
        <w:t xml:space="preserve"> aláírására. </w:t>
      </w:r>
    </w:p>
    <w:p w:rsidR="00421FC8" w:rsidRPr="00877375" w:rsidRDefault="00421FC8" w:rsidP="00421FC8">
      <w:pPr>
        <w:ind w:firstLine="360"/>
        <w:jc w:val="both"/>
        <w:rPr>
          <w:b/>
          <w:bCs/>
          <w:sz w:val="22"/>
          <w:szCs w:val="22"/>
        </w:rPr>
      </w:pPr>
    </w:p>
    <w:p w:rsidR="00421FC8" w:rsidRPr="00877375" w:rsidRDefault="00421FC8" w:rsidP="00421FC8">
      <w:pPr>
        <w:ind w:firstLine="360"/>
        <w:jc w:val="both"/>
        <w:rPr>
          <w:bCs/>
          <w:dstrike/>
          <w:color w:val="FF0000"/>
          <w:sz w:val="22"/>
          <w:szCs w:val="22"/>
        </w:rPr>
      </w:pPr>
      <w:r w:rsidRPr="00877375">
        <w:rPr>
          <w:b/>
          <w:bCs/>
          <w:sz w:val="22"/>
          <w:szCs w:val="22"/>
        </w:rPr>
        <w:t>Határidő</w:t>
      </w:r>
      <w:r w:rsidRPr="00877375">
        <w:rPr>
          <w:bCs/>
          <w:sz w:val="22"/>
          <w:szCs w:val="22"/>
        </w:rPr>
        <w:t>: 2015. március 31.</w:t>
      </w:r>
    </w:p>
    <w:p w:rsidR="00421FC8" w:rsidRPr="00877375" w:rsidRDefault="00421FC8" w:rsidP="00421FC8">
      <w:pPr>
        <w:ind w:firstLine="360"/>
        <w:jc w:val="both"/>
        <w:rPr>
          <w:b/>
          <w:bCs/>
          <w:sz w:val="22"/>
          <w:szCs w:val="22"/>
        </w:rPr>
      </w:pPr>
      <w:r w:rsidRPr="00877375">
        <w:rPr>
          <w:b/>
          <w:bCs/>
          <w:sz w:val="22"/>
          <w:szCs w:val="22"/>
        </w:rPr>
        <w:t xml:space="preserve">Felelős: </w:t>
      </w:r>
      <w:r w:rsidRPr="00877375">
        <w:rPr>
          <w:sz w:val="22"/>
          <w:szCs w:val="22"/>
        </w:rPr>
        <w:t>polgármester</w:t>
      </w:r>
    </w:p>
    <w:p w:rsidR="00421FC8" w:rsidRPr="00877375" w:rsidRDefault="00421FC8" w:rsidP="00421FC8">
      <w:pPr>
        <w:pStyle w:val="Szvegtrzs"/>
        <w:rPr>
          <w:rFonts w:ascii="Times New Roman" w:hAnsi="Times New Roman" w:cs="Times New Roman"/>
          <w:b/>
          <w:bCs/>
        </w:rPr>
      </w:pPr>
    </w:p>
    <w:p w:rsidR="00421FC8" w:rsidRPr="00877375" w:rsidRDefault="00421FC8" w:rsidP="00A4627B">
      <w:pPr>
        <w:jc w:val="both"/>
        <w:rPr>
          <w:sz w:val="22"/>
          <w:szCs w:val="22"/>
          <w:u w:val="single"/>
        </w:rPr>
      </w:pPr>
      <w:proofErr w:type="gramStart"/>
      <w:r w:rsidRPr="00877375">
        <w:rPr>
          <w:sz w:val="22"/>
          <w:szCs w:val="22"/>
          <w:u w:val="single"/>
        </w:rPr>
        <w:t>Értesülnek</w:t>
      </w:r>
      <w:proofErr w:type="gramEnd"/>
      <w:r w:rsidR="00A4627B" w:rsidRPr="00877375">
        <w:rPr>
          <w:sz w:val="22"/>
          <w:szCs w:val="22"/>
          <w:u w:val="single"/>
        </w:rPr>
        <w:t xml:space="preserve"> </w:t>
      </w:r>
      <w:proofErr w:type="spellStart"/>
      <w:r w:rsidR="00A4627B" w:rsidRPr="00877375">
        <w:rPr>
          <w:sz w:val="22"/>
          <w:szCs w:val="22"/>
          <w:u w:val="single"/>
        </w:rPr>
        <w:t>értesülnek</w:t>
      </w:r>
      <w:proofErr w:type="spellEnd"/>
      <w:r w:rsidR="00A4627B" w:rsidRPr="00877375">
        <w:rPr>
          <w:sz w:val="22"/>
          <w:szCs w:val="22"/>
          <w:u w:val="single"/>
        </w:rPr>
        <w:t>:</w:t>
      </w:r>
    </w:p>
    <w:p w:rsidR="00A4627B" w:rsidRPr="00877375" w:rsidRDefault="00A4627B" w:rsidP="00A4627B">
      <w:pPr>
        <w:jc w:val="both"/>
        <w:rPr>
          <w:sz w:val="22"/>
          <w:szCs w:val="22"/>
        </w:rPr>
      </w:pP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>Markót Imre polgármester</w:t>
      </w: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 xml:space="preserve">Dr. </w:t>
      </w:r>
      <w:proofErr w:type="spellStart"/>
      <w:r w:rsidRPr="00877375">
        <w:rPr>
          <w:sz w:val="22"/>
          <w:szCs w:val="22"/>
        </w:rPr>
        <w:t>Majtényi</w:t>
      </w:r>
      <w:proofErr w:type="spellEnd"/>
      <w:r w:rsidRPr="00877375">
        <w:rPr>
          <w:sz w:val="22"/>
          <w:szCs w:val="22"/>
        </w:rPr>
        <w:t xml:space="preserve"> Erzsébet jegyző</w:t>
      </w: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>Közpénzügyi Osztály</w:t>
      </w:r>
    </w:p>
    <w:p w:rsidR="00A4627B" w:rsidRPr="00877375" w:rsidRDefault="00A4627B" w:rsidP="00877375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877375">
        <w:rPr>
          <w:sz w:val="22"/>
          <w:szCs w:val="22"/>
        </w:rPr>
        <w:t>Szolnok-Abony-Szajol-Rákóczifalva tele</w:t>
      </w:r>
      <w:r w:rsidR="00877375" w:rsidRPr="00877375">
        <w:rPr>
          <w:sz w:val="22"/>
          <w:szCs w:val="22"/>
        </w:rPr>
        <w:t xml:space="preserve">pülési szilárd hulladék lerakói </w:t>
      </w:r>
      <w:proofErr w:type="spellStart"/>
      <w:r w:rsidRPr="00877375">
        <w:rPr>
          <w:sz w:val="22"/>
          <w:szCs w:val="22"/>
        </w:rPr>
        <w:t>rekultivá</w:t>
      </w:r>
      <w:r w:rsidR="00877375" w:rsidRPr="00877375">
        <w:rPr>
          <w:sz w:val="22"/>
          <w:szCs w:val="22"/>
        </w:rPr>
        <w:t>ciójának</w:t>
      </w:r>
      <w:r w:rsidRPr="00877375">
        <w:rPr>
          <w:sz w:val="22"/>
          <w:szCs w:val="22"/>
        </w:rPr>
        <w:t>Önkormányzati</w:t>
      </w:r>
      <w:proofErr w:type="spellEnd"/>
      <w:r w:rsidRPr="00877375">
        <w:rPr>
          <w:sz w:val="22"/>
          <w:szCs w:val="22"/>
        </w:rPr>
        <w:t xml:space="preserve"> Társulása</w:t>
      </w:r>
    </w:p>
    <w:p w:rsidR="00421FC8" w:rsidRPr="00877375" w:rsidRDefault="00471EF1" w:rsidP="00471EF1">
      <w:pPr>
        <w:tabs>
          <w:tab w:val="center" w:pos="6840"/>
        </w:tabs>
        <w:rPr>
          <w:b/>
          <w:sz w:val="22"/>
          <w:szCs w:val="22"/>
        </w:rPr>
      </w:pPr>
      <w:r w:rsidRPr="00877375">
        <w:rPr>
          <w:b/>
          <w:sz w:val="22"/>
          <w:szCs w:val="22"/>
        </w:rPr>
        <w:tab/>
      </w:r>
    </w:p>
    <w:p w:rsidR="00421FC8" w:rsidRPr="00877375" w:rsidRDefault="00421FC8" w:rsidP="00421FC8">
      <w:pPr>
        <w:ind w:right="57"/>
        <w:jc w:val="right"/>
        <w:rPr>
          <w:b/>
          <w:sz w:val="22"/>
          <w:szCs w:val="22"/>
        </w:rPr>
      </w:pPr>
    </w:p>
    <w:p w:rsidR="00421FC8" w:rsidRPr="00877375" w:rsidRDefault="00421FC8" w:rsidP="00421FC8">
      <w:pPr>
        <w:ind w:right="57"/>
        <w:jc w:val="right"/>
        <w:rPr>
          <w:b/>
          <w:sz w:val="22"/>
          <w:szCs w:val="22"/>
        </w:rPr>
      </w:pPr>
    </w:p>
    <w:p w:rsidR="00421FC8" w:rsidRPr="00877375" w:rsidRDefault="00421FC8" w:rsidP="00421FC8">
      <w:pPr>
        <w:ind w:right="57"/>
        <w:jc w:val="right"/>
        <w:rPr>
          <w:b/>
          <w:bCs/>
          <w:color w:val="000000"/>
          <w:sz w:val="22"/>
          <w:szCs w:val="22"/>
        </w:rPr>
      </w:pPr>
      <w:r w:rsidRPr="00877375">
        <w:rPr>
          <w:b/>
          <w:sz w:val="22"/>
          <w:szCs w:val="22"/>
        </w:rPr>
        <w:t>…/2015. (</w:t>
      </w:r>
      <w:proofErr w:type="gramStart"/>
      <w:r w:rsidRPr="00877375">
        <w:rPr>
          <w:b/>
          <w:sz w:val="22"/>
          <w:szCs w:val="22"/>
        </w:rPr>
        <w:t>III. ..</w:t>
      </w:r>
      <w:proofErr w:type="gramEnd"/>
      <w:r w:rsidRPr="00877375">
        <w:rPr>
          <w:b/>
          <w:sz w:val="22"/>
          <w:szCs w:val="22"/>
        </w:rPr>
        <w:t xml:space="preserve"> .) számú határozat</w:t>
      </w:r>
      <w:r w:rsidRPr="00877375">
        <w:rPr>
          <w:b/>
          <w:bCs/>
          <w:color w:val="000000"/>
          <w:sz w:val="22"/>
          <w:szCs w:val="22"/>
        </w:rPr>
        <w:t xml:space="preserve"> melléklete</w:t>
      </w:r>
    </w:p>
    <w:p w:rsidR="00421FC8" w:rsidRPr="00877375" w:rsidRDefault="00421FC8" w:rsidP="00421FC8">
      <w:pPr>
        <w:ind w:right="57"/>
        <w:jc w:val="center"/>
        <w:rPr>
          <w:b/>
          <w:bCs/>
          <w:color w:val="000000"/>
          <w:sz w:val="22"/>
          <w:szCs w:val="22"/>
        </w:rPr>
      </w:pPr>
    </w:p>
    <w:p w:rsidR="00421FC8" w:rsidRPr="00877375" w:rsidRDefault="00421FC8" w:rsidP="00421FC8">
      <w:pPr>
        <w:ind w:right="57"/>
        <w:jc w:val="center"/>
        <w:rPr>
          <w:b/>
          <w:bCs/>
          <w:color w:val="000000"/>
          <w:sz w:val="22"/>
          <w:szCs w:val="22"/>
        </w:rPr>
      </w:pPr>
      <w:r w:rsidRPr="00877375">
        <w:rPr>
          <w:b/>
          <w:bCs/>
          <w:color w:val="000000"/>
          <w:sz w:val="22"/>
          <w:szCs w:val="22"/>
        </w:rPr>
        <w:t xml:space="preserve">TAGÖNKORMÁNYZATOT TERHELŐ KEZESSÉGVÁLLALÁS </w:t>
      </w:r>
      <w:r w:rsidRPr="00877375">
        <w:rPr>
          <w:b/>
          <w:bCs/>
          <w:sz w:val="22"/>
          <w:szCs w:val="22"/>
        </w:rPr>
        <w:t xml:space="preserve">TEKINTETÉBEN </w:t>
      </w:r>
      <w:proofErr w:type="gramStart"/>
      <w:r w:rsidRPr="00877375">
        <w:rPr>
          <w:b/>
          <w:bCs/>
          <w:sz w:val="22"/>
          <w:szCs w:val="22"/>
        </w:rPr>
        <w:t>A</w:t>
      </w:r>
      <w:proofErr w:type="gramEnd"/>
      <w:r w:rsidRPr="00877375">
        <w:rPr>
          <w:b/>
          <w:bCs/>
          <w:sz w:val="22"/>
          <w:szCs w:val="22"/>
        </w:rPr>
        <w:t xml:space="preserve"> KOCKÁZATVÁLLALÁS ARÁNYA</w:t>
      </w:r>
    </w:p>
    <w:p w:rsidR="00421FC8" w:rsidRPr="00877375" w:rsidRDefault="00421FC8" w:rsidP="00421FC8">
      <w:pPr>
        <w:ind w:right="57"/>
        <w:rPr>
          <w:sz w:val="22"/>
          <w:szCs w:val="22"/>
        </w:rPr>
      </w:pPr>
    </w:p>
    <w:p w:rsidR="00421FC8" w:rsidRPr="00877375" w:rsidRDefault="00421FC8" w:rsidP="00421FC8">
      <w:pPr>
        <w:ind w:right="57"/>
        <w:jc w:val="both"/>
        <w:rPr>
          <w:sz w:val="22"/>
          <w:szCs w:val="22"/>
        </w:rPr>
      </w:pPr>
    </w:p>
    <w:p w:rsidR="00421FC8" w:rsidRPr="00877375" w:rsidRDefault="00421FC8" w:rsidP="00421FC8">
      <w:pPr>
        <w:ind w:right="57"/>
        <w:jc w:val="both"/>
        <w:rPr>
          <w:sz w:val="22"/>
          <w:szCs w:val="22"/>
        </w:rPr>
      </w:pP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740"/>
        <w:gridCol w:w="2560"/>
        <w:gridCol w:w="2677"/>
        <w:gridCol w:w="3260"/>
      </w:tblGrid>
      <w:tr w:rsidR="00421FC8" w:rsidRPr="00877375" w:rsidTr="006F30E2">
        <w:trPr>
          <w:trHeight w:val="1170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7375">
              <w:rPr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87737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Tagönkormányzatok</w:t>
            </w:r>
          </w:p>
        </w:tc>
        <w:tc>
          <w:tcPr>
            <w:tcW w:w="2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Szavazat száma (db)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 xml:space="preserve">Tagönkormányzatot terhelő kezességvállalás </w:t>
            </w:r>
            <w:r w:rsidRPr="00877375">
              <w:rPr>
                <w:b/>
                <w:bCs/>
                <w:sz w:val="22"/>
                <w:szCs w:val="22"/>
              </w:rPr>
              <w:t xml:space="preserve">tekintetében a kockázatvállalás </w:t>
            </w:r>
            <w:proofErr w:type="gramStart"/>
            <w:r w:rsidRPr="00877375">
              <w:rPr>
                <w:b/>
                <w:bCs/>
                <w:sz w:val="22"/>
                <w:szCs w:val="22"/>
              </w:rPr>
              <w:t>aránya</w:t>
            </w:r>
            <w:r w:rsidRPr="0087737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877375">
              <w:rPr>
                <w:b/>
                <w:bCs/>
                <w:color w:val="000000"/>
                <w:sz w:val="22"/>
                <w:szCs w:val="22"/>
              </w:rPr>
              <w:t>Ft)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Szolnok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4 094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102 425 000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Mezőtúr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23 000 </w:t>
            </w:r>
            <w:proofErr w:type="spellStart"/>
            <w:r w:rsidRPr="00877375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Törökszentmiklós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1 114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27 850 000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Abony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16 875 000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Túrkeve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12 225 000</w:t>
            </w:r>
          </w:p>
        </w:tc>
      </w:tr>
      <w:tr w:rsidR="00421FC8" w:rsidRPr="00877375" w:rsidTr="006F30E2">
        <w:trPr>
          <w:trHeight w:val="34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Fegyvernek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8 575 000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Újszász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7 950 000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Rákóczifalva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6 500 000</w:t>
            </w:r>
          </w:p>
        </w:tc>
      </w:tr>
      <w:tr w:rsidR="00421FC8" w:rsidRPr="00877375" w:rsidTr="006F30E2">
        <w:trPr>
          <w:trHeight w:val="28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Kenderes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6 350 000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Tószeg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5 600 000</w:t>
            </w:r>
          </w:p>
        </w:tc>
      </w:tr>
      <w:tr w:rsidR="00421FC8" w:rsidRPr="00877375" w:rsidTr="006F30E2">
        <w:trPr>
          <w:trHeight w:val="308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Kengyel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4 775 000</w:t>
            </w:r>
          </w:p>
        </w:tc>
      </w:tr>
      <w:tr w:rsidR="00421FC8" w:rsidRPr="00877375" w:rsidTr="006F30E2">
        <w:trPr>
          <w:trHeight w:val="308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Szajol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4 775 000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Zagyvarékas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4 375 000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Jászkarajenő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3 800 000</w:t>
            </w:r>
          </w:p>
        </w:tc>
      </w:tr>
      <w:tr w:rsidR="00421FC8" w:rsidRPr="00877375" w:rsidTr="006F30E2">
        <w:trPr>
          <w:trHeight w:val="28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Tiszapüspöki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2 450 000 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Tiszatenyő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2 250 000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Tiszavárkony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2 025 000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Tiszajenő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1 950 000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Örményes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1 475 000</w:t>
            </w:r>
          </w:p>
        </w:tc>
      </w:tr>
      <w:tr w:rsidR="00421FC8" w:rsidRPr="00877375" w:rsidTr="006F30E2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Szászberek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1 100 000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Kétpó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975 000</w:t>
            </w:r>
          </w:p>
        </w:tc>
      </w:tr>
      <w:tr w:rsidR="00421FC8" w:rsidRPr="00877375" w:rsidTr="006F30E2">
        <w:trPr>
          <w:trHeight w:val="37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Kuncsorba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950 000</w:t>
            </w:r>
          </w:p>
        </w:tc>
      </w:tr>
      <w:tr w:rsidR="00421FC8" w:rsidRPr="00877375" w:rsidTr="006F30E2">
        <w:trPr>
          <w:trHeight w:val="300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Kőröstetétlen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925 000</w:t>
            </w:r>
          </w:p>
        </w:tc>
      </w:tr>
      <w:tr w:rsidR="00421FC8" w:rsidRPr="00877375" w:rsidTr="006F30E2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Vezseny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color w:val="000000"/>
              </w:rPr>
            </w:pPr>
            <w:r w:rsidRPr="00877375">
              <w:rPr>
                <w:color w:val="000000"/>
                <w:sz w:val="22"/>
                <w:szCs w:val="22"/>
              </w:rPr>
              <w:t xml:space="preserve">                   825 000</w:t>
            </w:r>
          </w:p>
        </w:tc>
      </w:tr>
      <w:tr w:rsidR="00421FC8" w:rsidRPr="00877375" w:rsidTr="006F30E2">
        <w:trPr>
          <w:trHeight w:val="34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jc w:val="center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C8" w:rsidRPr="00877375" w:rsidRDefault="00421FC8" w:rsidP="006F30E2">
            <w:pPr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6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FC8" w:rsidRPr="00877375" w:rsidRDefault="00421FC8" w:rsidP="006F30E2">
            <w:pPr>
              <w:jc w:val="right"/>
              <w:rPr>
                <w:b/>
                <w:bCs/>
                <w:color w:val="000000"/>
              </w:rPr>
            </w:pPr>
            <w:r w:rsidRPr="00877375">
              <w:rPr>
                <w:b/>
                <w:bCs/>
                <w:color w:val="000000"/>
                <w:sz w:val="22"/>
                <w:szCs w:val="22"/>
              </w:rPr>
              <w:t xml:space="preserve">           250 000 </w:t>
            </w:r>
            <w:proofErr w:type="spellStart"/>
            <w:r w:rsidRPr="00877375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</w:tbl>
    <w:p w:rsidR="00421FC8" w:rsidRPr="00877375" w:rsidRDefault="00421FC8" w:rsidP="00421FC8">
      <w:pPr>
        <w:ind w:right="57"/>
        <w:jc w:val="both"/>
        <w:rPr>
          <w:sz w:val="22"/>
          <w:szCs w:val="22"/>
        </w:rPr>
      </w:pPr>
    </w:p>
    <w:p w:rsidR="00CB57DA" w:rsidRPr="00877375" w:rsidRDefault="00CB57DA">
      <w:pPr>
        <w:rPr>
          <w:sz w:val="22"/>
          <w:szCs w:val="22"/>
        </w:rPr>
      </w:pPr>
    </w:p>
    <w:sectPr w:rsidR="00CB57DA" w:rsidRPr="00877375" w:rsidSect="00242560">
      <w:head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A6" w:rsidRDefault="00A4627B">
      <w:r>
        <w:separator/>
      </w:r>
    </w:p>
  </w:endnote>
  <w:endnote w:type="continuationSeparator" w:id="0">
    <w:p w:rsidR="00C661A6" w:rsidRDefault="00A4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A6" w:rsidRDefault="00A4627B">
      <w:r>
        <w:separator/>
      </w:r>
    </w:p>
  </w:footnote>
  <w:footnote w:type="continuationSeparator" w:id="0">
    <w:p w:rsidR="00C661A6" w:rsidRDefault="00A4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893240"/>
      <w:docPartObj>
        <w:docPartGallery w:val="Page Numbers (Top of Page)"/>
        <w:docPartUnique/>
      </w:docPartObj>
    </w:sdtPr>
    <w:sdtContent>
      <w:p w:rsidR="00A36F7D" w:rsidRDefault="0005111F">
        <w:pPr>
          <w:pStyle w:val="lfej"/>
          <w:jc w:val="center"/>
        </w:pPr>
        <w:r>
          <w:fldChar w:fldCharType="begin"/>
        </w:r>
        <w:r w:rsidR="00E41362">
          <w:instrText>PAGE   \* MERGEFORMAT</w:instrText>
        </w:r>
        <w:r>
          <w:fldChar w:fldCharType="separate"/>
        </w:r>
        <w:r w:rsidR="00BB6D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6F7D" w:rsidRDefault="00BB6D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05"/>
    <w:multiLevelType w:val="hybridMultilevel"/>
    <w:tmpl w:val="2B7A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679"/>
    <w:multiLevelType w:val="hybridMultilevel"/>
    <w:tmpl w:val="DE4475EA"/>
    <w:lvl w:ilvl="0" w:tplc="33FCBF82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5B8048D"/>
    <w:multiLevelType w:val="hybridMultilevel"/>
    <w:tmpl w:val="06FEB4C4"/>
    <w:lvl w:ilvl="0" w:tplc="040E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52B38"/>
    <w:multiLevelType w:val="hybridMultilevel"/>
    <w:tmpl w:val="35B02674"/>
    <w:lvl w:ilvl="0" w:tplc="B0682A7C">
      <w:start w:val="2"/>
      <w:numFmt w:val="bullet"/>
      <w:lvlText w:val="-"/>
      <w:lvlJc w:val="left"/>
      <w:pPr>
        <w:ind w:left="-323" w:hanging="360"/>
      </w:pPr>
      <w:rPr>
        <w:rFonts w:ascii="KHSans" w:eastAsia="Times New Roman" w:hAnsi="KHSans" w:hint="default"/>
        <w:color w:val="33669A"/>
        <w:sz w:val="20"/>
      </w:rPr>
    </w:lvl>
    <w:lvl w:ilvl="1" w:tplc="040E0003" w:tentative="1">
      <w:start w:val="1"/>
      <w:numFmt w:val="bullet"/>
      <w:lvlText w:val="o"/>
      <w:lvlJc w:val="left"/>
      <w:pPr>
        <w:ind w:left="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</w:abstractNum>
  <w:abstractNum w:abstractNumId="4">
    <w:nsid w:val="3FCD6B4C"/>
    <w:multiLevelType w:val="hybridMultilevel"/>
    <w:tmpl w:val="4740CCBC"/>
    <w:lvl w:ilvl="0" w:tplc="72D83380">
      <w:start w:val="1"/>
      <w:numFmt w:val="bullet"/>
      <w:lvlText w:val="-"/>
      <w:lvlJc w:val="left"/>
      <w:pPr>
        <w:ind w:left="545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4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211" w:hanging="360"/>
      </w:pPr>
      <w:rPr>
        <w:rFonts w:ascii="Wingdings" w:hAnsi="Wingdings" w:hint="default"/>
      </w:rPr>
    </w:lvl>
  </w:abstractNum>
  <w:abstractNum w:abstractNumId="5">
    <w:nsid w:val="51A0267A"/>
    <w:multiLevelType w:val="hybridMultilevel"/>
    <w:tmpl w:val="1BEEDF28"/>
    <w:lvl w:ilvl="0" w:tplc="E8CC77B0">
      <w:numFmt w:val="bullet"/>
      <w:lvlText w:val="-"/>
      <w:lvlJc w:val="left"/>
      <w:pPr>
        <w:ind w:left="720" w:hanging="360"/>
      </w:pPr>
      <w:rPr>
        <w:rFonts w:ascii="KHSans" w:eastAsia="Times New Roman" w:hAnsi="KHSans" w:hint="default"/>
        <w:color w:val="33669A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1D65"/>
    <w:multiLevelType w:val="hybridMultilevel"/>
    <w:tmpl w:val="8C10C428"/>
    <w:lvl w:ilvl="0" w:tplc="A4F03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FC8"/>
    <w:rsid w:val="0005111F"/>
    <w:rsid w:val="002C3DDE"/>
    <w:rsid w:val="00421FC8"/>
    <w:rsid w:val="00471EF1"/>
    <w:rsid w:val="004B06E7"/>
    <w:rsid w:val="0057096F"/>
    <w:rsid w:val="005A7773"/>
    <w:rsid w:val="00877375"/>
    <w:rsid w:val="008D30C3"/>
    <w:rsid w:val="00A4627B"/>
    <w:rsid w:val="00BB6DE9"/>
    <w:rsid w:val="00C661A6"/>
    <w:rsid w:val="00CA43D0"/>
    <w:rsid w:val="00CB57DA"/>
    <w:rsid w:val="00E41362"/>
    <w:rsid w:val="00FD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21FC8"/>
    <w:pPr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421FC8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421F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21F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21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87737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877375"/>
    <w:rPr>
      <w:rFonts w:ascii="Bookman Old Style" w:eastAsia="Times New Roman" w:hAnsi="Bookman Old Style" w:cs="Times New Roman"/>
      <w:b/>
      <w:szCs w:val="20"/>
      <w:lang w:eastAsia="hu-HU"/>
    </w:rPr>
  </w:style>
  <w:style w:type="paragraph" w:customStyle="1" w:styleId="Listaszerbekezds1">
    <w:name w:val="Listaszerű bekezdés1"/>
    <w:basedOn w:val="Norml"/>
    <w:rsid w:val="00877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21FC8"/>
    <w:pPr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421FC8"/>
    <w:rPr>
      <w:rFonts w:ascii="Century Gothic" w:eastAsia="Times New Roman" w:hAnsi="Century Gothic" w:cs="Century Gothic"/>
      <w:lang w:eastAsia="hu-HU"/>
    </w:rPr>
  </w:style>
  <w:style w:type="paragraph" w:styleId="Listaszerbekezds">
    <w:name w:val="List Paragraph"/>
    <w:basedOn w:val="Norml"/>
    <w:uiPriority w:val="99"/>
    <w:qFormat/>
    <w:rsid w:val="00421F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21F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21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1694</Words>
  <Characters>11691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Pető Zoltán</dc:creator>
  <cp:keywords/>
  <dc:description/>
  <cp:lastModifiedBy>Orbánné Katika</cp:lastModifiedBy>
  <cp:revision>4</cp:revision>
  <dcterms:created xsi:type="dcterms:W3CDTF">2015-03-27T13:39:00Z</dcterms:created>
  <dcterms:modified xsi:type="dcterms:W3CDTF">2015-03-27T14:34:00Z</dcterms:modified>
</cp:coreProperties>
</file>