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C6" w:rsidRPr="008529C6" w:rsidRDefault="008529C6" w:rsidP="008529C6">
      <w:pPr>
        <w:widowControl w:val="0"/>
        <w:suppressAutoHyphens w:val="0"/>
        <w:rPr>
          <w:rFonts w:eastAsia="Courier New"/>
          <w:b/>
          <w:color w:val="000000"/>
          <w:sz w:val="22"/>
          <w:szCs w:val="22"/>
          <w:lang w:bidi="hu-HU"/>
        </w:rPr>
      </w:pPr>
      <w:bookmarkStart w:id="0" w:name="_Hlk40869541"/>
      <w:r w:rsidRPr="008529C6">
        <w:rPr>
          <w:rFonts w:eastAsia="Courier New"/>
          <w:b/>
          <w:color w:val="000000"/>
          <w:sz w:val="22"/>
          <w:szCs w:val="22"/>
          <w:lang w:bidi="hu-HU"/>
        </w:rPr>
        <w:t>118/2020. (V.28.</w:t>
      </w:r>
      <w:proofErr w:type="gramStart"/>
      <w:r w:rsidRPr="008529C6">
        <w:rPr>
          <w:rFonts w:eastAsia="Courier New"/>
          <w:b/>
          <w:color w:val="000000"/>
          <w:sz w:val="22"/>
          <w:szCs w:val="22"/>
          <w:lang w:bidi="hu-HU"/>
        </w:rPr>
        <w:t>)  polgármesteri</w:t>
      </w:r>
      <w:proofErr w:type="gramEnd"/>
      <w:r w:rsidRPr="008529C6">
        <w:rPr>
          <w:rFonts w:eastAsia="Courier New"/>
          <w:b/>
          <w:color w:val="000000"/>
          <w:sz w:val="22"/>
          <w:szCs w:val="22"/>
          <w:lang w:bidi="hu-HU"/>
        </w:rPr>
        <w:t xml:space="preserve"> </w:t>
      </w:r>
    </w:p>
    <w:p w:rsidR="008529C6" w:rsidRPr="008529C6" w:rsidRDefault="008529C6" w:rsidP="008529C6">
      <w:pPr>
        <w:widowControl w:val="0"/>
        <w:suppressAutoHyphens w:val="0"/>
        <w:rPr>
          <w:rFonts w:eastAsia="Courier New"/>
          <w:b/>
          <w:color w:val="000000"/>
          <w:sz w:val="22"/>
          <w:szCs w:val="22"/>
          <w:lang w:bidi="hu-HU"/>
        </w:rPr>
      </w:pPr>
    </w:p>
    <w:p w:rsidR="008529C6" w:rsidRPr="008529C6" w:rsidRDefault="008529C6" w:rsidP="008529C6">
      <w:pPr>
        <w:keepNext/>
        <w:keepLines/>
        <w:widowControl w:val="0"/>
        <w:suppressAutoHyphens w:val="0"/>
        <w:spacing w:after="272" w:line="240" w:lineRule="exact"/>
        <w:ind w:firstLine="46"/>
        <w:jc w:val="both"/>
        <w:outlineLvl w:val="3"/>
        <w:rPr>
          <w:b/>
          <w:bCs/>
          <w:sz w:val="22"/>
          <w:szCs w:val="22"/>
          <w:lang w:eastAsia="en-US"/>
        </w:rPr>
      </w:pPr>
      <w:bookmarkStart w:id="1" w:name="bookmark4"/>
      <w:proofErr w:type="gramStart"/>
      <w:r w:rsidRPr="008529C6">
        <w:rPr>
          <w:b/>
          <w:color w:val="000000"/>
          <w:spacing w:val="60"/>
          <w:sz w:val="22"/>
          <w:szCs w:val="22"/>
          <w:u w:val="single"/>
          <w:shd w:val="clear" w:color="auto" w:fill="FFFFFF"/>
          <w:lang w:bidi="hu-HU"/>
        </w:rPr>
        <w:t>határoza</w:t>
      </w:r>
      <w:bookmarkEnd w:id="1"/>
      <w:r w:rsidRPr="008529C6">
        <w:rPr>
          <w:b/>
          <w:color w:val="000000"/>
          <w:spacing w:val="60"/>
          <w:sz w:val="22"/>
          <w:szCs w:val="22"/>
          <w:u w:val="single"/>
          <w:shd w:val="clear" w:color="auto" w:fill="FFFFFF"/>
          <w:lang w:bidi="hu-HU"/>
        </w:rPr>
        <w:t>t</w:t>
      </w:r>
      <w:proofErr w:type="gramEnd"/>
    </w:p>
    <w:p w:rsidR="008529C6" w:rsidRPr="008529C6" w:rsidRDefault="008529C6" w:rsidP="008529C6">
      <w:pPr>
        <w:keepNext/>
        <w:keepLines/>
        <w:widowControl w:val="0"/>
        <w:suppressAutoHyphens w:val="0"/>
        <w:spacing w:after="237" w:line="270" w:lineRule="exact"/>
        <w:ind w:firstLine="46"/>
        <w:jc w:val="both"/>
        <w:outlineLvl w:val="3"/>
        <w:rPr>
          <w:b/>
          <w:bCs/>
          <w:sz w:val="22"/>
          <w:szCs w:val="22"/>
          <w:lang w:eastAsia="en-US"/>
        </w:rPr>
      </w:pPr>
      <w:bookmarkStart w:id="2" w:name="bookmark5"/>
      <w:proofErr w:type="gramStart"/>
      <w:r w:rsidRPr="008529C6">
        <w:rPr>
          <w:b/>
          <w:bCs/>
          <w:color w:val="000000"/>
          <w:sz w:val="22"/>
          <w:szCs w:val="22"/>
          <w:lang w:bidi="hu-HU"/>
        </w:rPr>
        <w:t>a</w:t>
      </w:r>
      <w:proofErr w:type="gramEnd"/>
      <w:r w:rsidRPr="008529C6">
        <w:rPr>
          <w:b/>
          <w:bCs/>
          <w:color w:val="000000"/>
          <w:sz w:val="22"/>
          <w:szCs w:val="22"/>
          <w:lang w:bidi="hu-HU"/>
        </w:rPr>
        <w:t xml:space="preserve"> Törökszentmiklósi Kommunális Szolgáltató </w:t>
      </w:r>
      <w:r w:rsidRPr="008529C6">
        <w:rPr>
          <w:b/>
          <w:bCs/>
          <w:color w:val="000000"/>
          <w:sz w:val="22"/>
          <w:szCs w:val="22"/>
          <w:lang w:val="en-US" w:eastAsia="en-US" w:bidi="en-US"/>
        </w:rPr>
        <w:t xml:space="preserve">Nonprofit </w:t>
      </w:r>
      <w:r w:rsidRPr="008529C6">
        <w:rPr>
          <w:b/>
          <w:bCs/>
          <w:color w:val="000000"/>
          <w:sz w:val="22"/>
          <w:szCs w:val="22"/>
          <w:lang w:bidi="hu-HU"/>
        </w:rPr>
        <w:t>Kft 2019. évi éves beszámolójának jóváhagyásáról</w:t>
      </w:r>
      <w:bookmarkEnd w:id="2"/>
    </w:p>
    <w:p w:rsidR="008529C6" w:rsidRPr="008529C6" w:rsidRDefault="008529C6" w:rsidP="008529C6">
      <w:pPr>
        <w:jc w:val="both"/>
        <w:rPr>
          <w:sz w:val="22"/>
          <w:szCs w:val="22"/>
        </w:rPr>
      </w:pPr>
    </w:p>
    <w:p w:rsidR="008529C6" w:rsidRPr="008529C6" w:rsidRDefault="008529C6" w:rsidP="008529C6">
      <w:pPr>
        <w:jc w:val="both"/>
        <w:rPr>
          <w:sz w:val="22"/>
          <w:szCs w:val="22"/>
        </w:rPr>
      </w:pPr>
      <w:r w:rsidRPr="008529C6">
        <w:rPr>
          <w:sz w:val="22"/>
          <w:szCs w:val="22"/>
        </w:rPr>
        <w:t xml:space="preserve">Törökszentmiklós Város Polgármestere </w:t>
      </w:r>
      <w:bookmarkEnd w:id="0"/>
      <w:r w:rsidRPr="008529C6">
        <w:rPr>
          <w:sz w:val="22"/>
          <w:szCs w:val="22"/>
        </w:rPr>
        <w:t>a katasztrófavédelemről és a hozzá kapcsolódó egyes törvények módosításáról szóló 2011. évi CXXVIII. törvény 46. § (4) bekezdésére és a veszélyhelyzet kihirdetéséről szóló 40/2020. (III. 11.) Korm. rendeletre figyelemmel az alábbi határozatot hozza:</w:t>
      </w:r>
    </w:p>
    <w:p w:rsidR="008529C6" w:rsidRPr="008529C6" w:rsidRDefault="008529C6" w:rsidP="008529C6">
      <w:pPr>
        <w:jc w:val="both"/>
        <w:rPr>
          <w:sz w:val="22"/>
          <w:szCs w:val="22"/>
        </w:rPr>
      </w:pPr>
    </w:p>
    <w:p w:rsidR="008529C6" w:rsidRPr="008529C6" w:rsidRDefault="008529C6" w:rsidP="008529C6">
      <w:pPr>
        <w:jc w:val="both"/>
        <w:rPr>
          <w:sz w:val="22"/>
          <w:szCs w:val="22"/>
        </w:rPr>
      </w:pPr>
    </w:p>
    <w:p w:rsidR="008529C6" w:rsidRPr="008529C6" w:rsidRDefault="008529C6" w:rsidP="008529C6">
      <w:pPr>
        <w:widowControl w:val="0"/>
        <w:suppressAutoHyphens w:val="0"/>
        <w:spacing w:line="274" w:lineRule="exact"/>
        <w:ind w:left="380" w:hanging="6"/>
        <w:jc w:val="both"/>
        <w:rPr>
          <w:rFonts w:eastAsia="Courier New"/>
          <w:color w:val="000000"/>
          <w:sz w:val="22"/>
          <w:szCs w:val="22"/>
          <w:lang w:bidi="hu-HU"/>
        </w:rPr>
      </w:pPr>
      <w:r w:rsidRPr="008529C6">
        <w:rPr>
          <w:rFonts w:eastAsia="Courier New"/>
          <w:color w:val="000000"/>
          <w:sz w:val="22"/>
          <w:szCs w:val="22"/>
          <w:lang w:bidi="hu-HU"/>
        </w:rPr>
        <w:t xml:space="preserve">Törökszentmiklós Város Polgármester, mint a Törökszentmiklósi Kommunális Szolgáltató </w:t>
      </w:r>
      <w:r w:rsidRPr="008529C6">
        <w:rPr>
          <w:rFonts w:eastAsia="Courier New"/>
          <w:color w:val="000000"/>
          <w:sz w:val="22"/>
          <w:szCs w:val="22"/>
          <w:lang w:val="en-US" w:eastAsia="en-US" w:bidi="en-US"/>
        </w:rPr>
        <w:t xml:space="preserve">Nonprofit </w:t>
      </w:r>
      <w:r w:rsidRPr="008529C6">
        <w:rPr>
          <w:rFonts w:eastAsia="Courier New"/>
          <w:color w:val="000000"/>
          <w:sz w:val="22"/>
          <w:szCs w:val="22"/>
          <w:lang w:bidi="hu-HU"/>
        </w:rPr>
        <w:t>Kft (továbbiakban: Kft) alapítói jogainak gyakorlója, a melléklet szerint jóváhagyja a Kft 2019. évi éves beszámolóját 345 784 E Ft mérlegfőösszeggel és 16 009 E Ft adózott eredménnyel.</w:t>
      </w:r>
    </w:p>
    <w:p w:rsidR="008529C6" w:rsidRPr="008529C6" w:rsidRDefault="008529C6" w:rsidP="008529C6">
      <w:pPr>
        <w:widowControl w:val="0"/>
        <w:suppressAutoHyphens w:val="0"/>
        <w:spacing w:line="274" w:lineRule="exact"/>
        <w:ind w:left="380" w:hanging="6"/>
        <w:jc w:val="both"/>
        <w:rPr>
          <w:rFonts w:eastAsia="Courier New"/>
          <w:color w:val="000000"/>
          <w:sz w:val="22"/>
          <w:szCs w:val="22"/>
          <w:lang w:bidi="hu-HU"/>
        </w:rPr>
      </w:pPr>
    </w:p>
    <w:p w:rsidR="008529C6" w:rsidRPr="008529C6" w:rsidRDefault="008529C6" w:rsidP="008529C6">
      <w:pPr>
        <w:widowControl w:val="0"/>
        <w:suppressAutoHyphens w:val="0"/>
        <w:spacing w:line="274" w:lineRule="exact"/>
        <w:ind w:left="380" w:hanging="6"/>
        <w:jc w:val="center"/>
        <w:rPr>
          <w:rFonts w:eastAsia="Courier New"/>
          <w:color w:val="000000"/>
          <w:sz w:val="22"/>
          <w:szCs w:val="22"/>
          <w:lang w:bidi="hu-HU"/>
        </w:rPr>
      </w:pPr>
      <w:proofErr w:type="spellStart"/>
      <w:r w:rsidRPr="008529C6">
        <w:rPr>
          <w:rFonts w:eastAsia="Courier New"/>
          <w:color w:val="000000"/>
          <w:sz w:val="22"/>
          <w:szCs w:val="22"/>
          <w:lang w:bidi="hu-HU"/>
        </w:rPr>
        <w:t>Kmf</w:t>
      </w:r>
      <w:proofErr w:type="spellEnd"/>
      <w:r w:rsidRPr="008529C6">
        <w:rPr>
          <w:rFonts w:eastAsia="Courier New"/>
          <w:color w:val="000000"/>
          <w:sz w:val="22"/>
          <w:szCs w:val="22"/>
          <w:lang w:bidi="hu-HU"/>
        </w:rPr>
        <w:t>.</w:t>
      </w:r>
    </w:p>
    <w:p w:rsidR="008529C6" w:rsidRPr="008529C6" w:rsidRDefault="008529C6" w:rsidP="008529C6">
      <w:pPr>
        <w:widowControl w:val="0"/>
        <w:suppressAutoHyphens w:val="0"/>
        <w:spacing w:line="274" w:lineRule="exact"/>
        <w:ind w:left="380" w:hanging="6"/>
        <w:jc w:val="center"/>
        <w:rPr>
          <w:rFonts w:eastAsia="Courier New"/>
          <w:color w:val="000000"/>
          <w:sz w:val="22"/>
          <w:szCs w:val="22"/>
          <w:lang w:bidi="hu-HU"/>
        </w:rPr>
      </w:pPr>
    </w:p>
    <w:p w:rsidR="008529C6" w:rsidRPr="008529C6" w:rsidRDefault="008529C6" w:rsidP="008529C6">
      <w:pPr>
        <w:widowControl w:val="0"/>
        <w:suppressAutoHyphens w:val="0"/>
        <w:spacing w:line="274" w:lineRule="exact"/>
        <w:ind w:left="380" w:hanging="6"/>
        <w:jc w:val="center"/>
        <w:rPr>
          <w:rFonts w:eastAsia="Courier New"/>
          <w:color w:val="000000"/>
          <w:sz w:val="22"/>
          <w:szCs w:val="22"/>
          <w:lang w:bidi="hu-HU"/>
        </w:rPr>
      </w:pPr>
    </w:p>
    <w:p w:rsidR="008529C6" w:rsidRPr="008529C6" w:rsidRDefault="008529C6" w:rsidP="008529C6">
      <w:pPr>
        <w:widowControl w:val="0"/>
        <w:suppressAutoHyphens w:val="0"/>
        <w:spacing w:line="274" w:lineRule="exact"/>
        <w:ind w:left="380" w:hanging="6"/>
        <w:rPr>
          <w:rFonts w:eastAsia="Courier New"/>
          <w:color w:val="000000"/>
          <w:sz w:val="22"/>
          <w:szCs w:val="22"/>
          <w:lang w:bidi="hu-HU"/>
        </w:rPr>
      </w:pP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t>Markót Imre</w:t>
      </w:r>
    </w:p>
    <w:p w:rsidR="008529C6" w:rsidRPr="008529C6" w:rsidRDefault="008529C6" w:rsidP="008529C6">
      <w:pPr>
        <w:widowControl w:val="0"/>
        <w:suppressAutoHyphens w:val="0"/>
        <w:spacing w:line="274" w:lineRule="exact"/>
        <w:ind w:left="380" w:hanging="6"/>
        <w:rPr>
          <w:rFonts w:eastAsia="Courier New"/>
          <w:color w:val="000000"/>
          <w:sz w:val="22"/>
          <w:szCs w:val="22"/>
          <w:lang w:bidi="hu-HU"/>
        </w:rPr>
      </w:pP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r w:rsidRPr="008529C6">
        <w:rPr>
          <w:rFonts w:eastAsia="Courier New"/>
          <w:color w:val="000000"/>
          <w:sz w:val="22"/>
          <w:szCs w:val="22"/>
          <w:lang w:bidi="hu-HU"/>
        </w:rPr>
        <w:tab/>
      </w:r>
      <w:proofErr w:type="gramStart"/>
      <w:r w:rsidRPr="008529C6">
        <w:rPr>
          <w:rFonts w:eastAsia="Courier New"/>
          <w:color w:val="000000"/>
          <w:sz w:val="22"/>
          <w:szCs w:val="22"/>
          <w:lang w:bidi="hu-HU"/>
        </w:rPr>
        <w:t>polgármester</w:t>
      </w:r>
      <w:proofErr w:type="gramEnd"/>
    </w:p>
    <w:p w:rsidR="008529C6" w:rsidRPr="008529C6" w:rsidRDefault="008529C6" w:rsidP="008529C6">
      <w:pPr>
        <w:widowControl w:val="0"/>
        <w:suppressAutoHyphens w:val="0"/>
        <w:spacing w:line="274" w:lineRule="exact"/>
        <w:ind w:left="380" w:hanging="6"/>
        <w:rPr>
          <w:rFonts w:eastAsia="Courier New"/>
          <w:color w:val="000000"/>
          <w:sz w:val="22"/>
          <w:szCs w:val="22"/>
          <w:lang w:bidi="hu-HU"/>
        </w:rPr>
      </w:pPr>
    </w:p>
    <w:p w:rsidR="008529C6" w:rsidRPr="008529C6" w:rsidRDefault="008529C6" w:rsidP="008529C6">
      <w:pPr>
        <w:widowControl w:val="0"/>
        <w:suppressAutoHyphens w:val="0"/>
        <w:spacing w:line="274" w:lineRule="exact"/>
        <w:ind w:left="380" w:hanging="6"/>
        <w:jc w:val="both"/>
        <w:rPr>
          <w:rFonts w:eastAsia="Courier New"/>
          <w:color w:val="000000"/>
          <w:sz w:val="22"/>
          <w:szCs w:val="22"/>
          <w:lang w:bidi="hu-HU"/>
        </w:rPr>
      </w:pPr>
    </w:p>
    <w:p w:rsidR="008529C6" w:rsidRPr="008529C6" w:rsidRDefault="008529C6" w:rsidP="008529C6">
      <w:pPr>
        <w:widowControl w:val="0"/>
        <w:suppressAutoHyphens w:val="0"/>
        <w:spacing w:line="274" w:lineRule="exact"/>
        <w:ind w:left="380" w:hanging="6"/>
        <w:jc w:val="both"/>
        <w:rPr>
          <w:rFonts w:eastAsia="Courier New"/>
          <w:color w:val="000000"/>
          <w:sz w:val="22"/>
          <w:szCs w:val="22"/>
          <w:lang w:bidi="hu-HU"/>
        </w:rPr>
      </w:pPr>
    </w:p>
    <w:p w:rsidR="008529C6" w:rsidRPr="008529C6" w:rsidRDefault="008529C6" w:rsidP="008529C6">
      <w:pPr>
        <w:widowControl w:val="0"/>
        <w:suppressAutoHyphens w:val="0"/>
        <w:spacing w:line="274" w:lineRule="exact"/>
        <w:ind w:left="380" w:hanging="6"/>
        <w:jc w:val="both"/>
        <w:rPr>
          <w:rFonts w:eastAsia="Courier New"/>
          <w:color w:val="000000"/>
          <w:sz w:val="22"/>
          <w:szCs w:val="22"/>
          <w:lang w:bidi="hu-HU"/>
        </w:rPr>
      </w:pPr>
      <w:r w:rsidRPr="008529C6">
        <w:rPr>
          <w:rFonts w:eastAsia="Courier New"/>
          <w:color w:val="000000"/>
          <w:sz w:val="22"/>
          <w:szCs w:val="22"/>
          <w:u w:val="single"/>
          <w:lang w:bidi="hu-HU"/>
        </w:rPr>
        <w:t>Erről értesül:</w:t>
      </w:r>
    </w:p>
    <w:p w:rsidR="008529C6" w:rsidRPr="008529C6" w:rsidRDefault="008529C6" w:rsidP="008529C6">
      <w:pPr>
        <w:widowControl w:val="0"/>
        <w:numPr>
          <w:ilvl w:val="0"/>
          <w:numId w:val="1"/>
        </w:numPr>
        <w:tabs>
          <w:tab w:val="left" w:pos="728"/>
        </w:tabs>
        <w:suppressAutoHyphens w:val="0"/>
        <w:spacing w:line="274" w:lineRule="exact"/>
        <w:ind w:left="380" w:hanging="6"/>
        <w:jc w:val="both"/>
        <w:rPr>
          <w:rFonts w:eastAsia="Courier New"/>
          <w:color w:val="000000"/>
          <w:sz w:val="22"/>
          <w:szCs w:val="22"/>
          <w:lang w:bidi="hu-HU"/>
        </w:rPr>
      </w:pPr>
      <w:r w:rsidRPr="008529C6">
        <w:rPr>
          <w:rFonts w:eastAsia="Courier New"/>
          <w:color w:val="000000"/>
          <w:sz w:val="22"/>
          <w:szCs w:val="22"/>
          <w:lang w:bidi="hu-HU"/>
        </w:rPr>
        <w:t>Markót Imre polgármester</w:t>
      </w:r>
    </w:p>
    <w:p w:rsidR="008529C6" w:rsidRPr="008529C6" w:rsidRDefault="008529C6" w:rsidP="008529C6">
      <w:pPr>
        <w:widowControl w:val="0"/>
        <w:numPr>
          <w:ilvl w:val="0"/>
          <w:numId w:val="1"/>
        </w:numPr>
        <w:tabs>
          <w:tab w:val="left" w:pos="728"/>
        </w:tabs>
        <w:suppressAutoHyphens w:val="0"/>
        <w:spacing w:line="274" w:lineRule="exact"/>
        <w:ind w:left="380" w:hanging="6"/>
        <w:jc w:val="both"/>
        <w:rPr>
          <w:rFonts w:eastAsia="Courier New"/>
          <w:color w:val="000000"/>
          <w:sz w:val="22"/>
          <w:szCs w:val="22"/>
          <w:lang w:bidi="hu-HU"/>
        </w:rPr>
      </w:pPr>
      <w:r w:rsidRPr="008529C6">
        <w:rPr>
          <w:rFonts w:eastAsia="Courier New"/>
          <w:color w:val="000000"/>
          <w:sz w:val="22"/>
          <w:szCs w:val="22"/>
          <w:lang w:bidi="hu-HU"/>
        </w:rPr>
        <w:t>Polgár András alpolgármester</w:t>
      </w:r>
    </w:p>
    <w:p w:rsidR="008529C6" w:rsidRPr="008529C6" w:rsidRDefault="008529C6" w:rsidP="008529C6">
      <w:pPr>
        <w:widowControl w:val="0"/>
        <w:numPr>
          <w:ilvl w:val="0"/>
          <w:numId w:val="1"/>
        </w:numPr>
        <w:tabs>
          <w:tab w:val="left" w:pos="728"/>
        </w:tabs>
        <w:suppressAutoHyphens w:val="0"/>
        <w:spacing w:line="274" w:lineRule="exact"/>
        <w:ind w:left="380" w:hanging="6"/>
        <w:jc w:val="both"/>
        <w:rPr>
          <w:rFonts w:eastAsia="Courier New"/>
          <w:color w:val="000000"/>
          <w:sz w:val="22"/>
          <w:szCs w:val="22"/>
          <w:lang w:bidi="hu-HU"/>
        </w:rPr>
      </w:pPr>
      <w:r w:rsidRPr="008529C6">
        <w:rPr>
          <w:rFonts w:eastAsia="Courier New"/>
          <w:color w:val="000000"/>
          <w:sz w:val="22"/>
          <w:szCs w:val="22"/>
          <w:lang w:bidi="hu-HU"/>
        </w:rPr>
        <w:t>Dr. Rimóczi Imre jegyző</w:t>
      </w:r>
    </w:p>
    <w:p w:rsidR="008529C6" w:rsidRPr="008529C6" w:rsidRDefault="008529C6" w:rsidP="008529C6">
      <w:pPr>
        <w:widowControl w:val="0"/>
        <w:numPr>
          <w:ilvl w:val="0"/>
          <w:numId w:val="1"/>
        </w:numPr>
        <w:tabs>
          <w:tab w:val="left" w:pos="736"/>
        </w:tabs>
        <w:suppressAutoHyphens w:val="0"/>
        <w:spacing w:line="274" w:lineRule="exact"/>
        <w:ind w:left="380" w:hanging="6"/>
        <w:jc w:val="both"/>
        <w:rPr>
          <w:rFonts w:eastAsia="Courier New"/>
          <w:color w:val="000000"/>
          <w:sz w:val="22"/>
          <w:szCs w:val="22"/>
          <w:lang w:bidi="hu-HU"/>
        </w:rPr>
      </w:pPr>
      <w:r w:rsidRPr="008529C6">
        <w:rPr>
          <w:rFonts w:eastAsia="Courier New"/>
          <w:color w:val="000000"/>
          <w:sz w:val="22"/>
          <w:szCs w:val="22"/>
          <w:lang w:bidi="hu-HU"/>
        </w:rPr>
        <w:t>Dr. Monoki Bernadett aljegyző</w:t>
      </w:r>
    </w:p>
    <w:p w:rsidR="008529C6" w:rsidRPr="008529C6" w:rsidRDefault="008529C6" w:rsidP="008529C6">
      <w:pPr>
        <w:widowControl w:val="0"/>
        <w:numPr>
          <w:ilvl w:val="0"/>
          <w:numId w:val="1"/>
        </w:numPr>
        <w:tabs>
          <w:tab w:val="left" w:pos="736"/>
        </w:tabs>
        <w:suppressAutoHyphens w:val="0"/>
        <w:spacing w:line="274" w:lineRule="exact"/>
        <w:ind w:left="720" w:hanging="346"/>
        <w:rPr>
          <w:rFonts w:eastAsia="Courier New"/>
          <w:color w:val="000000"/>
          <w:sz w:val="22"/>
          <w:szCs w:val="22"/>
          <w:lang w:bidi="hu-HU"/>
        </w:rPr>
      </w:pPr>
      <w:r w:rsidRPr="008529C6">
        <w:rPr>
          <w:rFonts w:eastAsia="Courier New"/>
          <w:color w:val="000000"/>
          <w:sz w:val="22"/>
          <w:szCs w:val="22"/>
          <w:lang w:bidi="hu-HU"/>
        </w:rPr>
        <w:t xml:space="preserve">Törökszentmiklósi Kommunális Szolgáltató </w:t>
      </w:r>
      <w:r w:rsidRPr="008529C6">
        <w:rPr>
          <w:rFonts w:eastAsia="Courier New"/>
          <w:color w:val="000000"/>
          <w:sz w:val="22"/>
          <w:szCs w:val="22"/>
          <w:lang w:val="en-US" w:eastAsia="en-US" w:bidi="en-US"/>
        </w:rPr>
        <w:t xml:space="preserve">Nonprofit </w:t>
      </w:r>
      <w:r w:rsidRPr="008529C6">
        <w:rPr>
          <w:rFonts w:eastAsia="Courier New"/>
          <w:color w:val="000000"/>
          <w:sz w:val="22"/>
          <w:szCs w:val="22"/>
          <w:lang w:bidi="hu-HU"/>
        </w:rPr>
        <w:t>Kft Törökszentmiklós Puskás F. utca 12.</w:t>
      </w:r>
    </w:p>
    <w:p w:rsidR="008529C6" w:rsidRPr="008529C6" w:rsidRDefault="008529C6" w:rsidP="008529C6">
      <w:pPr>
        <w:widowControl w:val="0"/>
        <w:numPr>
          <w:ilvl w:val="0"/>
          <w:numId w:val="1"/>
        </w:numPr>
        <w:tabs>
          <w:tab w:val="left" w:pos="736"/>
        </w:tabs>
        <w:suppressAutoHyphens w:val="0"/>
        <w:spacing w:line="274" w:lineRule="exact"/>
        <w:ind w:left="380" w:hanging="6"/>
        <w:jc w:val="both"/>
        <w:rPr>
          <w:rFonts w:eastAsia="Courier New"/>
          <w:color w:val="000000"/>
          <w:sz w:val="22"/>
          <w:szCs w:val="22"/>
          <w:lang w:bidi="hu-HU"/>
        </w:rPr>
      </w:pPr>
      <w:r w:rsidRPr="008529C6">
        <w:rPr>
          <w:rFonts w:eastAsia="Courier New"/>
          <w:color w:val="000000"/>
          <w:sz w:val="22"/>
          <w:szCs w:val="22"/>
          <w:lang w:bidi="hu-HU"/>
        </w:rPr>
        <w:t>Felügyelő Bizottság</w:t>
      </w:r>
    </w:p>
    <w:p w:rsidR="008529C6" w:rsidRPr="008529C6" w:rsidRDefault="008529C6" w:rsidP="008529C6">
      <w:pPr>
        <w:widowControl w:val="0"/>
        <w:numPr>
          <w:ilvl w:val="0"/>
          <w:numId w:val="1"/>
        </w:numPr>
        <w:tabs>
          <w:tab w:val="left" w:pos="736"/>
        </w:tabs>
        <w:suppressAutoHyphens w:val="0"/>
        <w:spacing w:line="274" w:lineRule="exact"/>
        <w:ind w:left="380" w:hanging="6"/>
        <w:jc w:val="both"/>
        <w:rPr>
          <w:rFonts w:eastAsia="Courier New"/>
          <w:color w:val="000000"/>
          <w:sz w:val="22"/>
          <w:szCs w:val="22"/>
          <w:lang w:bidi="hu-HU"/>
        </w:rPr>
      </w:pPr>
      <w:r w:rsidRPr="008529C6">
        <w:rPr>
          <w:rFonts w:eastAsia="Courier New"/>
          <w:color w:val="000000"/>
          <w:sz w:val="22"/>
          <w:szCs w:val="22"/>
          <w:lang w:bidi="hu-HU"/>
        </w:rPr>
        <w:t>Közpénzügyi Osztály</w:t>
      </w:r>
    </w:p>
    <w:p w:rsidR="008529C6" w:rsidRPr="008529C6" w:rsidRDefault="008529C6" w:rsidP="008529C6">
      <w:pPr>
        <w:widowControl w:val="0"/>
        <w:numPr>
          <w:ilvl w:val="0"/>
          <w:numId w:val="1"/>
        </w:numPr>
        <w:tabs>
          <w:tab w:val="left" w:pos="736"/>
        </w:tabs>
        <w:suppressAutoHyphens w:val="0"/>
        <w:spacing w:line="274" w:lineRule="exact"/>
        <w:ind w:left="380" w:hanging="6"/>
        <w:jc w:val="both"/>
        <w:rPr>
          <w:rFonts w:eastAsia="Courier New"/>
          <w:color w:val="000000"/>
          <w:sz w:val="22"/>
          <w:szCs w:val="22"/>
          <w:lang w:bidi="hu-HU"/>
        </w:rPr>
      </w:pPr>
      <w:r w:rsidRPr="008529C6">
        <w:rPr>
          <w:rFonts w:eastAsia="Courier New"/>
          <w:color w:val="000000"/>
          <w:sz w:val="22"/>
          <w:szCs w:val="22"/>
          <w:lang w:bidi="hu-HU"/>
        </w:rPr>
        <w:t>Irattár</w:t>
      </w:r>
    </w:p>
    <w:p w:rsidR="008529C6" w:rsidRDefault="008529C6">
      <w:pPr>
        <w:sectPr w:rsidR="008529C6">
          <w:pgSz w:w="11906" w:h="16838"/>
          <w:pgMar w:top="1417" w:right="1417" w:bottom="1417" w:left="1417" w:header="708" w:footer="708" w:gutter="0"/>
          <w:cols w:space="708"/>
          <w:docGrid w:linePitch="360"/>
        </w:sectPr>
      </w:pPr>
    </w:p>
    <w:tbl>
      <w:tblPr>
        <w:tblW w:w="9436" w:type="dxa"/>
        <w:tblInd w:w="55" w:type="dxa"/>
        <w:tblCellMar>
          <w:left w:w="70" w:type="dxa"/>
          <w:right w:w="70" w:type="dxa"/>
        </w:tblCellMar>
        <w:tblLook w:val="04A0" w:firstRow="1" w:lastRow="0" w:firstColumn="1" w:lastColumn="0" w:noHBand="0" w:noVBand="1"/>
      </w:tblPr>
      <w:tblGrid>
        <w:gridCol w:w="1033"/>
        <w:gridCol w:w="1273"/>
        <w:gridCol w:w="5054"/>
        <w:gridCol w:w="660"/>
        <w:gridCol w:w="1935"/>
      </w:tblGrid>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6249" w:type="dxa"/>
            <w:gridSpan w:val="2"/>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r w:rsidRPr="008529C6">
              <w:rPr>
                <w:rFonts w:ascii="Times New Roman CE" w:hAnsi="Times New Roman CE" w:cs="Times New Roman CE"/>
                <w:szCs w:val="24"/>
              </w:rPr>
              <w:t>12533868 3811 572 16</w:t>
            </w: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r w:rsidRPr="008529C6">
              <w:rPr>
                <w:rFonts w:ascii="Times New Roman CE" w:hAnsi="Times New Roman CE" w:cs="Times New Roman CE"/>
                <w:szCs w:val="24"/>
              </w:rPr>
              <w:t>Statisztikai számjel</w:t>
            </w: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r w:rsidRPr="008529C6">
              <w:rPr>
                <w:rFonts w:ascii="Times New Roman CE" w:hAnsi="Times New Roman CE" w:cs="Times New Roman CE"/>
                <w:szCs w:val="24"/>
              </w:rPr>
              <w:t>16-09-006169</w:t>
            </w: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r w:rsidRPr="008529C6">
              <w:rPr>
                <w:rFonts w:ascii="Times New Roman CE" w:hAnsi="Times New Roman CE" w:cs="Times New Roman CE"/>
                <w:szCs w:val="24"/>
              </w:rPr>
              <w:t>Cégjegyzék száma</w:t>
            </w: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540"/>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32"/>
                <w:szCs w:val="32"/>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32"/>
                <w:szCs w:val="32"/>
              </w:rPr>
            </w:pPr>
          </w:p>
        </w:tc>
        <w:tc>
          <w:tcPr>
            <w:tcW w:w="5054" w:type="dxa"/>
            <w:tcBorders>
              <w:top w:val="nil"/>
              <w:left w:val="nil"/>
              <w:bottom w:val="nil"/>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32"/>
                <w:szCs w:val="32"/>
              </w:rPr>
            </w:pPr>
            <w:r w:rsidRPr="008529C6">
              <w:rPr>
                <w:rFonts w:ascii="Times New Roman CE" w:hAnsi="Times New Roman CE" w:cs="Times New Roman CE"/>
                <w:b/>
                <w:bCs/>
                <w:sz w:val="32"/>
                <w:szCs w:val="32"/>
              </w:rPr>
              <w:t>Törökszentmiklósi Kommunális Szolgáltató Nonprofit Kft.</w:t>
            </w: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32"/>
                <w:szCs w:val="32"/>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32"/>
                <w:szCs w:val="32"/>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szCs w:val="24"/>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420"/>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32"/>
                <w:szCs w:val="32"/>
              </w:rPr>
            </w:pPr>
            <w:r w:rsidRPr="008529C6">
              <w:rPr>
                <w:rFonts w:ascii="Times New Roman CE" w:hAnsi="Times New Roman CE" w:cs="Times New Roman CE"/>
                <w:b/>
                <w:bCs/>
                <w:sz w:val="32"/>
                <w:szCs w:val="32"/>
              </w:rPr>
              <w:t>5200 Törökszentmiklós, Puskás Ferenc utca 12.</w:t>
            </w: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7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32"/>
                <w:szCs w:val="32"/>
              </w:rPr>
            </w:pPr>
            <w:r w:rsidRPr="008529C6">
              <w:rPr>
                <w:rFonts w:ascii="Times New Roman CE" w:hAnsi="Times New Roman CE" w:cs="Times New Roman CE"/>
                <w:b/>
                <w:bCs/>
                <w:sz w:val="32"/>
                <w:szCs w:val="32"/>
              </w:rPr>
              <w:t>(56) 590-640</w:t>
            </w: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center"/>
            <w:hideMark/>
          </w:tcPr>
          <w:p w:rsidR="008529C6" w:rsidRPr="008529C6" w:rsidRDefault="008529C6" w:rsidP="008529C6">
            <w:pPr>
              <w:suppressAutoHyphens w:val="0"/>
              <w:jc w:val="center"/>
              <w:rPr>
                <w:rFonts w:ascii="Arial" w:hAnsi="Arial" w:cs="Arial"/>
                <w:sz w:val="20"/>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center"/>
            <w:hideMark/>
          </w:tcPr>
          <w:p w:rsidR="008529C6" w:rsidRPr="008529C6" w:rsidRDefault="008529C6" w:rsidP="008529C6">
            <w:pPr>
              <w:suppressAutoHyphens w:val="0"/>
              <w:jc w:val="center"/>
              <w:rPr>
                <w:rFonts w:ascii="Arial" w:hAnsi="Arial" w:cs="Arial"/>
                <w:sz w:val="20"/>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center"/>
            <w:hideMark/>
          </w:tcPr>
          <w:p w:rsidR="008529C6" w:rsidRPr="008529C6" w:rsidRDefault="008529C6" w:rsidP="008529C6">
            <w:pPr>
              <w:suppressAutoHyphens w:val="0"/>
              <w:jc w:val="center"/>
              <w:rPr>
                <w:rFonts w:ascii="Arial" w:hAnsi="Arial" w:cs="Arial"/>
                <w:sz w:val="20"/>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73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48"/>
                <w:szCs w:val="48"/>
              </w:rPr>
            </w:pPr>
            <w:r w:rsidRPr="008529C6">
              <w:rPr>
                <w:rFonts w:ascii="Times New Roman CE" w:hAnsi="Times New Roman CE" w:cs="Times New Roman CE"/>
                <w:b/>
                <w:bCs/>
                <w:sz w:val="48"/>
                <w:szCs w:val="48"/>
              </w:rPr>
              <w:t>Éves beszámoló</w:t>
            </w: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32"/>
                <w:szCs w:val="32"/>
              </w:rPr>
            </w:pPr>
            <w:r w:rsidRPr="008529C6">
              <w:rPr>
                <w:rFonts w:ascii="Times New Roman CE" w:hAnsi="Times New Roman CE" w:cs="Times New Roman CE"/>
                <w:b/>
                <w:bCs/>
                <w:sz w:val="32"/>
                <w:szCs w:val="32"/>
              </w:rPr>
              <w:t>2019. december 31.</w:t>
            </w: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9436" w:type="dxa"/>
            <w:gridSpan w:val="5"/>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b/>
                <w:bCs/>
                <w:sz w:val="20"/>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 w:val="20"/>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30"/>
        </w:trPr>
        <w:tc>
          <w:tcPr>
            <w:tcW w:w="9436" w:type="dxa"/>
            <w:gridSpan w:val="5"/>
            <w:tcBorders>
              <w:top w:val="nil"/>
              <w:left w:val="nil"/>
              <w:bottom w:val="nil"/>
              <w:right w:val="nil"/>
            </w:tcBorders>
            <w:shd w:val="clear" w:color="auto" w:fill="auto"/>
            <w:vAlign w:val="bottom"/>
            <w:hideMark/>
          </w:tcPr>
          <w:p w:rsidR="008529C6" w:rsidRPr="008529C6" w:rsidRDefault="008529C6" w:rsidP="008529C6">
            <w:pPr>
              <w:suppressAutoHyphens w:val="0"/>
              <w:jc w:val="center"/>
              <w:rPr>
                <w:rFonts w:ascii="Times New Roman CE" w:hAnsi="Times New Roman CE" w:cs="Times New Roman CE"/>
                <w:b/>
                <w:bCs/>
                <w:sz w:val="20"/>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r w:rsidRPr="008529C6">
              <w:rPr>
                <w:rFonts w:ascii="Times New Roman CE" w:hAnsi="Times New Roman CE" w:cs="Times New Roman CE"/>
                <w:szCs w:val="24"/>
              </w:rPr>
              <w:t>Keltezés:</w:t>
            </w: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r w:rsidRPr="008529C6">
              <w:rPr>
                <w:rFonts w:ascii="Times New Roman CE" w:hAnsi="Times New Roman CE" w:cs="Times New Roman CE"/>
                <w:szCs w:val="24"/>
              </w:rPr>
              <w:t>2020. május 11.</w:t>
            </w: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Cs w:val="24"/>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Cs w:val="24"/>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Cs w:val="24"/>
              </w:rPr>
            </w:pPr>
            <w:r w:rsidRPr="008529C6">
              <w:rPr>
                <w:rFonts w:ascii="Times New Roman CE" w:hAnsi="Times New Roman CE" w:cs="Times New Roman CE"/>
                <w:szCs w:val="24"/>
              </w:rPr>
              <w:t>a vállalkozás vezetője (képviselője)</w:t>
            </w: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Cs w:val="24"/>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Cs w:val="24"/>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w:hAnsi="Arial" w:cs="Arial"/>
                <w:szCs w:val="24"/>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r w:rsidRPr="008529C6">
              <w:rPr>
                <w:rFonts w:ascii="Times New Roman CE" w:hAnsi="Times New Roman CE" w:cs="Times New Roman CE"/>
                <w:szCs w:val="24"/>
              </w:rPr>
              <w:t>P.H.</w:t>
            </w: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r w:rsidR="008529C6" w:rsidRPr="008529C6" w:rsidTr="008529C6">
        <w:trPr>
          <w:trHeight w:val="315"/>
        </w:trPr>
        <w:tc>
          <w:tcPr>
            <w:tcW w:w="5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19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505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c>
          <w:tcPr>
            <w:tcW w:w="193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Cs w:val="24"/>
              </w:rPr>
            </w:pPr>
          </w:p>
        </w:tc>
      </w:tr>
    </w:tbl>
    <w:p w:rsidR="008529C6" w:rsidRPr="008529C6" w:rsidRDefault="008529C6" w:rsidP="008529C6">
      <w:pPr>
        <w:suppressAutoHyphens w:val="0"/>
        <w:spacing w:after="200" w:line="276" w:lineRule="auto"/>
        <w:rPr>
          <w:rFonts w:eastAsiaTheme="minorHAnsi"/>
          <w:sz w:val="22"/>
          <w:szCs w:val="22"/>
          <w:lang w:eastAsia="en-US"/>
        </w:rPr>
        <w:sectPr w:rsidR="008529C6" w:rsidRPr="008529C6" w:rsidSect="008529C6">
          <w:pgSz w:w="11906" w:h="16838"/>
          <w:pgMar w:top="720" w:right="720" w:bottom="720" w:left="720" w:header="708" w:footer="708" w:gutter="0"/>
          <w:cols w:space="708"/>
          <w:docGrid w:linePitch="360"/>
        </w:sectPr>
      </w:pPr>
    </w:p>
    <w:tbl>
      <w:tblPr>
        <w:tblW w:w="10505" w:type="dxa"/>
        <w:tblInd w:w="55" w:type="dxa"/>
        <w:tblCellMar>
          <w:left w:w="70" w:type="dxa"/>
          <w:right w:w="70" w:type="dxa"/>
        </w:tblCellMar>
        <w:tblLook w:val="04A0" w:firstRow="1" w:lastRow="0" w:firstColumn="1" w:lastColumn="0" w:noHBand="0" w:noVBand="1"/>
      </w:tblPr>
      <w:tblGrid>
        <w:gridCol w:w="660"/>
        <w:gridCol w:w="501"/>
        <w:gridCol w:w="4241"/>
        <w:gridCol w:w="1060"/>
        <w:gridCol w:w="2342"/>
        <w:gridCol w:w="1701"/>
      </w:tblGrid>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12533868 3811 572 16</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Statisztikai számjel</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16-09-006169</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b/>
                <w:bCs/>
                <w:sz w:val="20"/>
              </w:rPr>
            </w:pPr>
            <w:r w:rsidRPr="008529C6">
              <w:rPr>
                <w:rFonts w:ascii="Times New Roman CE" w:hAnsi="Times New Roman CE" w:cs="Times New Roman CE"/>
                <w:b/>
                <w:bCs/>
                <w:sz w:val="20"/>
              </w:rPr>
              <w:t>12</w:t>
            </w: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Cégjegyzék száma</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10505" w:type="dxa"/>
            <w:gridSpan w:val="6"/>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Törökszentmiklósi Kommunális Szolgáltató Nonprofit Kft.</w:t>
            </w:r>
          </w:p>
        </w:tc>
      </w:tr>
      <w:tr w:rsidR="008529C6" w:rsidRPr="008529C6" w:rsidTr="008529C6">
        <w:trPr>
          <w:trHeight w:val="318"/>
        </w:trPr>
        <w:tc>
          <w:tcPr>
            <w:tcW w:w="5402" w:type="dxa"/>
            <w:gridSpan w:val="3"/>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"A" MÉRLEG Eszközök (aktívák)</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2019. december 31.</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adatok E Ft-ban</w:t>
            </w:r>
          </w:p>
        </w:tc>
      </w:tr>
      <w:tr w:rsidR="008529C6" w:rsidRPr="008529C6" w:rsidTr="008529C6">
        <w:trPr>
          <w:trHeight w:val="842"/>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Sor-szám</w:t>
            </w:r>
          </w:p>
        </w:tc>
        <w:tc>
          <w:tcPr>
            <w:tcW w:w="501"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w:t>
            </w:r>
          </w:p>
        </w:tc>
        <w:tc>
          <w:tcPr>
            <w:tcW w:w="4241" w:type="dxa"/>
            <w:tcBorders>
              <w:top w:val="single" w:sz="4" w:space="0" w:color="auto"/>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A tétel megnevezése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Előző év</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xml:space="preserve">Előző </w:t>
            </w:r>
            <w:proofErr w:type="gramStart"/>
            <w:r w:rsidRPr="008529C6">
              <w:rPr>
                <w:rFonts w:ascii="Times New Roman CE" w:hAnsi="Times New Roman CE" w:cs="Times New Roman CE"/>
                <w:b/>
                <w:bCs/>
                <w:sz w:val="20"/>
              </w:rPr>
              <w:t>év(</w:t>
            </w:r>
            <w:proofErr w:type="spellStart"/>
            <w:proofErr w:type="gramEnd"/>
            <w:r w:rsidRPr="008529C6">
              <w:rPr>
                <w:rFonts w:ascii="Times New Roman CE" w:hAnsi="Times New Roman CE" w:cs="Times New Roman CE"/>
                <w:b/>
                <w:bCs/>
                <w:sz w:val="20"/>
              </w:rPr>
              <w:t>ek</w:t>
            </w:r>
            <w:proofErr w:type="spellEnd"/>
            <w:r w:rsidRPr="008529C6">
              <w:rPr>
                <w:rFonts w:ascii="Times New Roman CE" w:hAnsi="Times New Roman CE" w:cs="Times New Roman CE"/>
                <w:b/>
                <w:bCs/>
                <w:sz w:val="20"/>
              </w:rPr>
              <w:t xml:space="preserve">) </w:t>
            </w:r>
            <w:proofErr w:type="spellStart"/>
            <w:r w:rsidRPr="008529C6">
              <w:rPr>
                <w:rFonts w:ascii="Times New Roman CE" w:hAnsi="Times New Roman CE" w:cs="Times New Roman CE"/>
                <w:b/>
                <w:bCs/>
                <w:sz w:val="20"/>
              </w:rPr>
              <w:t>módosí-tásai</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xml:space="preserve">Tárgyév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a</w:t>
            </w:r>
          </w:p>
        </w:tc>
        <w:tc>
          <w:tcPr>
            <w:tcW w:w="501" w:type="dxa"/>
            <w:tcBorders>
              <w:top w:val="nil"/>
              <w:left w:val="nil"/>
              <w:bottom w:val="single" w:sz="4" w:space="0" w:color="auto"/>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w:t>
            </w:r>
          </w:p>
        </w:tc>
        <w:tc>
          <w:tcPr>
            <w:tcW w:w="424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b</w:t>
            </w:r>
          </w:p>
        </w:tc>
        <w:tc>
          <w:tcPr>
            <w:tcW w:w="106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c</w:t>
            </w:r>
          </w:p>
        </w:tc>
        <w:tc>
          <w:tcPr>
            <w:tcW w:w="2342" w:type="dxa"/>
            <w:tcBorders>
              <w:top w:val="nil"/>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d</w:t>
            </w:r>
          </w:p>
        </w:tc>
        <w:tc>
          <w:tcPr>
            <w:tcW w:w="170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e</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29</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B.</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Forgóeszközök</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156 075</w:t>
            </w:r>
          </w:p>
        </w:tc>
        <w:tc>
          <w:tcPr>
            <w:tcW w:w="2342"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52 942</w:t>
            </w:r>
          </w:p>
        </w:tc>
        <w:tc>
          <w:tcPr>
            <w:tcW w:w="170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261 973</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30</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I.</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KÉSZLETEK</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10 421</w:t>
            </w:r>
          </w:p>
        </w:tc>
        <w:tc>
          <w:tcPr>
            <w:tcW w:w="2342"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12 119</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31</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Anyagok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4 554</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6 202</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32</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Befejezetlen termelés és félkész termékek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33</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Növendék-, hízó- és egyéb állatok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34</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Késztermékek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35</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Áruk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5 867</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5 917</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36</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Készletekre adott előlegek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37</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II.</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KÖVETELÉSEK</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114 647</w:t>
            </w:r>
          </w:p>
        </w:tc>
        <w:tc>
          <w:tcPr>
            <w:tcW w:w="2342"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52 942</w:t>
            </w:r>
          </w:p>
        </w:tc>
        <w:tc>
          <w:tcPr>
            <w:tcW w:w="170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176 989</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38</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Követelések áruszállításból és szolgáltatásból (vevők)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107 876</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52 942</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168 319</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39</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Követelések kapcsolt vállalkozással szemben</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40</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Követelések jelentős részesedési viszonyban lévő vállalkozással szemben</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41</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Követelések egyéb részesedési viszonyban lévő vállalkozással szemben</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42</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Váltókövetelések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43</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Egyéb követelések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6 771</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8 670</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44</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Követelések értékelési különbözete</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45</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Származékos ügyletek pozitív értékelési különbözete</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46</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III.</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ÉRTÉKPAPÍROK</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11 682</w:t>
            </w:r>
          </w:p>
        </w:tc>
        <w:tc>
          <w:tcPr>
            <w:tcW w:w="2342"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11 674</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47</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Részesedés kapcsolt vállalkozásban</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48</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Jelentős tulajdonosi részesedés</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49</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Egyéb részesedés</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50</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Saját részvények, saját üzletrészek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51</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Forgatási célú hitelviszonyt megtestesítő értékpapírok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11 682</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11 674</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52</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Értékpapírok értékelési különbözete</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53</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IV.</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PÉNZESZKÖZÖK</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19 325</w:t>
            </w:r>
          </w:p>
        </w:tc>
        <w:tc>
          <w:tcPr>
            <w:tcW w:w="2342"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61 191</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54</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Pénztár, csekkek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2 970</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1 633</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55</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Bankbetétek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16 355</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59 558</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56</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C.</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Aktív időbeli elhatárolások</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603</w:t>
            </w:r>
          </w:p>
        </w:tc>
        <w:tc>
          <w:tcPr>
            <w:tcW w:w="2342"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8 831</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57</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Bevételek aktív időbeli elhatárolása</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22</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17</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58</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xml:space="preserve">Költségek, ráfordítások </w:t>
            </w:r>
            <w:proofErr w:type="gramStart"/>
            <w:r w:rsidRPr="008529C6">
              <w:rPr>
                <w:rFonts w:ascii="Times New Roman CE" w:hAnsi="Times New Roman CE" w:cs="Times New Roman CE"/>
                <w:sz w:val="20"/>
              </w:rPr>
              <w:t>aktív  időbeli</w:t>
            </w:r>
            <w:proofErr w:type="gramEnd"/>
            <w:r w:rsidRPr="008529C6">
              <w:rPr>
                <w:rFonts w:ascii="Times New Roman CE" w:hAnsi="Times New Roman CE" w:cs="Times New Roman CE"/>
                <w:sz w:val="20"/>
              </w:rPr>
              <w:t xml:space="preserve">  elhatárolása</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581</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644</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59</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Halasztott ráfordítások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8 170</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60</w:t>
            </w:r>
          </w:p>
        </w:tc>
        <w:tc>
          <w:tcPr>
            <w:tcW w:w="501"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single" w:sz="4" w:space="0" w:color="auto"/>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Eszközök összesen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225 523</w:t>
            </w:r>
          </w:p>
        </w:tc>
        <w:tc>
          <w:tcPr>
            <w:tcW w:w="2342" w:type="dxa"/>
            <w:tcBorders>
              <w:top w:val="single" w:sz="4" w:space="0" w:color="auto"/>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52 942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345 784</w:t>
            </w:r>
          </w:p>
        </w:tc>
      </w:tr>
      <w:tr w:rsidR="008529C6" w:rsidRPr="008529C6" w:rsidTr="008529C6">
        <w:trPr>
          <w:trHeight w:val="318"/>
        </w:trPr>
        <w:tc>
          <w:tcPr>
            <w:tcW w:w="1161" w:type="dxa"/>
            <w:gridSpan w:val="2"/>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lastRenderedPageBreak/>
              <w:t>Keltezés:</w:t>
            </w: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2020. május 11.</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a vállalkozás vezetője (képviselője)</w:t>
            </w: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P.H.</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5"/>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12533868 3811 572 16</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5"/>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Statisztikai számjel</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5"/>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5"/>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16-09-006169</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b/>
                <w:bCs/>
                <w:sz w:val="20"/>
              </w:rPr>
            </w:pPr>
            <w:r w:rsidRPr="008529C6">
              <w:rPr>
                <w:rFonts w:ascii="Times New Roman CE" w:hAnsi="Times New Roman CE" w:cs="Times New Roman CE"/>
                <w:b/>
                <w:bCs/>
                <w:sz w:val="20"/>
              </w:rPr>
              <w:t>13</w:t>
            </w: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5"/>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Cégjegyzék száma</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5"/>
        </w:trPr>
        <w:tc>
          <w:tcPr>
            <w:tcW w:w="10505" w:type="dxa"/>
            <w:gridSpan w:val="6"/>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Törökszentmiklósi Kommunális Szolgáltató Nonprofit Kft.</w:t>
            </w:r>
          </w:p>
        </w:tc>
      </w:tr>
      <w:tr w:rsidR="008529C6" w:rsidRPr="008529C6" w:rsidTr="008529C6">
        <w:trPr>
          <w:trHeight w:val="315"/>
        </w:trPr>
        <w:tc>
          <w:tcPr>
            <w:tcW w:w="5402" w:type="dxa"/>
            <w:gridSpan w:val="3"/>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"A" MÉRLEG Források (passzívák)</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5"/>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2019. december 31.</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adatok E Ft-ban</w:t>
            </w:r>
          </w:p>
        </w:tc>
      </w:tr>
      <w:tr w:rsidR="008529C6" w:rsidRPr="008529C6" w:rsidTr="008529C6">
        <w:trPr>
          <w:trHeight w:val="772"/>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Sor-szám</w:t>
            </w:r>
          </w:p>
        </w:tc>
        <w:tc>
          <w:tcPr>
            <w:tcW w:w="501"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w:t>
            </w:r>
          </w:p>
        </w:tc>
        <w:tc>
          <w:tcPr>
            <w:tcW w:w="4241" w:type="dxa"/>
            <w:tcBorders>
              <w:top w:val="single" w:sz="4" w:space="0" w:color="auto"/>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A tétel megnevezése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Előző év</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xml:space="preserve">Előző </w:t>
            </w:r>
            <w:proofErr w:type="gramStart"/>
            <w:r w:rsidRPr="008529C6">
              <w:rPr>
                <w:rFonts w:ascii="Times New Roman CE" w:hAnsi="Times New Roman CE" w:cs="Times New Roman CE"/>
                <w:b/>
                <w:bCs/>
                <w:sz w:val="20"/>
              </w:rPr>
              <w:t>év(</w:t>
            </w:r>
            <w:proofErr w:type="spellStart"/>
            <w:proofErr w:type="gramEnd"/>
            <w:r w:rsidRPr="008529C6">
              <w:rPr>
                <w:rFonts w:ascii="Times New Roman CE" w:hAnsi="Times New Roman CE" w:cs="Times New Roman CE"/>
                <w:b/>
                <w:bCs/>
                <w:sz w:val="20"/>
              </w:rPr>
              <w:t>ek</w:t>
            </w:r>
            <w:proofErr w:type="spellEnd"/>
            <w:r w:rsidRPr="008529C6">
              <w:rPr>
                <w:rFonts w:ascii="Times New Roman CE" w:hAnsi="Times New Roman CE" w:cs="Times New Roman CE"/>
                <w:b/>
                <w:bCs/>
                <w:sz w:val="20"/>
              </w:rPr>
              <w:t xml:space="preserve">) </w:t>
            </w:r>
            <w:proofErr w:type="spellStart"/>
            <w:r w:rsidRPr="008529C6">
              <w:rPr>
                <w:rFonts w:ascii="Times New Roman CE" w:hAnsi="Times New Roman CE" w:cs="Times New Roman CE"/>
                <w:b/>
                <w:bCs/>
                <w:sz w:val="20"/>
              </w:rPr>
              <w:t>módosí-tásai</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xml:space="preserve">Tárgyév </w:t>
            </w:r>
          </w:p>
        </w:tc>
      </w:tr>
      <w:tr w:rsidR="008529C6" w:rsidRPr="008529C6" w:rsidTr="008529C6">
        <w:trPr>
          <w:trHeight w:val="1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a</w:t>
            </w:r>
          </w:p>
        </w:tc>
        <w:tc>
          <w:tcPr>
            <w:tcW w:w="501" w:type="dxa"/>
            <w:tcBorders>
              <w:top w:val="nil"/>
              <w:left w:val="nil"/>
              <w:bottom w:val="single" w:sz="4" w:space="0" w:color="auto"/>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w:t>
            </w:r>
          </w:p>
        </w:tc>
        <w:tc>
          <w:tcPr>
            <w:tcW w:w="424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b</w:t>
            </w:r>
          </w:p>
        </w:tc>
        <w:tc>
          <w:tcPr>
            <w:tcW w:w="106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c</w:t>
            </w:r>
          </w:p>
        </w:tc>
        <w:tc>
          <w:tcPr>
            <w:tcW w:w="2342" w:type="dxa"/>
            <w:tcBorders>
              <w:top w:val="nil"/>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d</w:t>
            </w:r>
          </w:p>
        </w:tc>
        <w:tc>
          <w:tcPr>
            <w:tcW w:w="170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e</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61</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D.</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Saját tőke</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137 155</w:t>
            </w:r>
          </w:p>
        </w:tc>
        <w:tc>
          <w:tcPr>
            <w:tcW w:w="2342"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40 684</w:t>
            </w:r>
          </w:p>
        </w:tc>
        <w:tc>
          <w:tcPr>
            <w:tcW w:w="170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193 848</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62</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I.</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JEGYZETT TŐKE</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61 100</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61 100</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63</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ebből: visszavásárolt tulajdoni részesedés névértéken</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64</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II.</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JEGYZETT, DE MÉG BE NEM FIZETETT TŐKE (-)</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65</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III.</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TŐKETARTALÉK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6 768</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6 768</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66</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IV.</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EREDMÉNYTARTALÉK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52 121</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109 971</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67</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V.</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LEKÖTÖTT TARTALÉK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5 400</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68</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VI.</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ÉRTÉKELÉSI TARTALÉK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69</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Értékhelyesbítés értékelési tartaléka</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70</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Valós értékelés értékelési tartaléka</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71</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VII.</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ADÓZOTT EREDEMÉNY</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11 766</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40 684</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16 009</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72</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E.</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Céltartalékok</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2342"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73</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Céltartalék a várható kötelezettségekre</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74</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Céltartalék a jövőbeni költségekre</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75</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Egyéb céltartalék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76</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F.</w:t>
            </w:r>
          </w:p>
        </w:tc>
        <w:tc>
          <w:tcPr>
            <w:tcW w:w="424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Kötelezettségek</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58 906</w:t>
            </w:r>
          </w:p>
        </w:tc>
        <w:tc>
          <w:tcPr>
            <w:tcW w:w="2342"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12 258</w:t>
            </w:r>
          </w:p>
        </w:tc>
        <w:tc>
          <w:tcPr>
            <w:tcW w:w="170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128 112</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77</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I.</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HÁTRASOROLT KÖTELEZETTSÉGEK</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2342"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r>
      <w:tr w:rsidR="008529C6" w:rsidRPr="008529C6" w:rsidTr="008529C6">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78</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Hátrasorolt kötelezettségek kapcsolt vállalkozással szemben</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79</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Hátrasorolt kötelezettségek jelentős részesedési viszonyban lévő vállalkozással szemben</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80</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Hátrasorolt kötelezettségek egyéb részesedési viszonyban lévő vállalkozással szemben</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81</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Hátrasorolt kötelezettségek egyéb gazdálkodóval szemben</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82</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II.</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HOSSZÚ LEJÁRATÚ KÖTELEZETTSÉGEK</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2342"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83</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Hosszú lejáratra kapott kölcsönök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84</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Átváltoztatható kötvények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85</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Tartozások kötvénykibocsátásból</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86</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Beruházási és fejlesztési hitelek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87</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Egyéb hosszú lejáratú hitelek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88</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Tartós kötelezettségek kapcsolt vállalkozással szemben</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lastRenderedPageBreak/>
              <w:t>89</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Tartós kötelezettségek jelentős részesedési viszonyban lévő vállalkozással szemben</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6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90</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Tartós kötelezettségek egyéb részesedési viszonyban lévő vállalkozással szemben</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91</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Egyéb hosszú lejáratú kötelezettségek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1161" w:type="dxa"/>
            <w:gridSpan w:val="2"/>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Keltezés:</w:t>
            </w: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2020. május 11.</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a vállalkozás vezetője (képviselője)</w:t>
            </w: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P.H.</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12533868 3811 572 16</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Statisztikai számjel</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16-09-006169</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b/>
                <w:bCs/>
                <w:sz w:val="20"/>
              </w:rPr>
            </w:pPr>
            <w:r w:rsidRPr="008529C6">
              <w:rPr>
                <w:rFonts w:ascii="Times New Roman CE" w:hAnsi="Times New Roman CE" w:cs="Times New Roman CE"/>
                <w:b/>
                <w:bCs/>
                <w:sz w:val="20"/>
              </w:rPr>
              <w:t>14</w:t>
            </w: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Cégjegyzék száma</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10505" w:type="dxa"/>
            <w:gridSpan w:val="6"/>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Törökszentmiklósi Kommunális Szolgáltató Nonprofit Kft.</w:t>
            </w:r>
          </w:p>
        </w:tc>
      </w:tr>
      <w:tr w:rsidR="008529C6" w:rsidRPr="008529C6" w:rsidTr="008529C6">
        <w:trPr>
          <w:trHeight w:val="318"/>
        </w:trPr>
        <w:tc>
          <w:tcPr>
            <w:tcW w:w="5402" w:type="dxa"/>
            <w:gridSpan w:val="3"/>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"A" MÉRLEG Források (passzívák)</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2019. december 31.</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adatok E Ft-ban</w:t>
            </w:r>
          </w:p>
        </w:tc>
      </w:tr>
      <w:tr w:rsidR="008529C6" w:rsidRPr="008529C6" w:rsidTr="008529C6">
        <w:trPr>
          <w:trHeight w:val="713"/>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Sor-szám</w:t>
            </w:r>
          </w:p>
        </w:tc>
        <w:tc>
          <w:tcPr>
            <w:tcW w:w="501"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w:t>
            </w:r>
          </w:p>
        </w:tc>
        <w:tc>
          <w:tcPr>
            <w:tcW w:w="4241" w:type="dxa"/>
            <w:tcBorders>
              <w:top w:val="single" w:sz="4" w:space="0" w:color="auto"/>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A tétel megnevezése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Előző év</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xml:space="preserve">Előző </w:t>
            </w:r>
            <w:proofErr w:type="gramStart"/>
            <w:r w:rsidRPr="008529C6">
              <w:rPr>
                <w:rFonts w:ascii="Times New Roman CE" w:hAnsi="Times New Roman CE" w:cs="Times New Roman CE"/>
                <w:b/>
                <w:bCs/>
                <w:sz w:val="20"/>
              </w:rPr>
              <w:t>év(</w:t>
            </w:r>
            <w:proofErr w:type="spellStart"/>
            <w:proofErr w:type="gramEnd"/>
            <w:r w:rsidRPr="008529C6">
              <w:rPr>
                <w:rFonts w:ascii="Times New Roman CE" w:hAnsi="Times New Roman CE" w:cs="Times New Roman CE"/>
                <w:b/>
                <w:bCs/>
                <w:sz w:val="20"/>
              </w:rPr>
              <w:t>ek</w:t>
            </w:r>
            <w:proofErr w:type="spellEnd"/>
            <w:r w:rsidRPr="008529C6">
              <w:rPr>
                <w:rFonts w:ascii="Times New Roman CE" w:hAnsi="Times New Roman CE" w:cs="Times New Roman CE"/>
                <w:b/>
                <w:bCs/>
                <w:sz w:val="20"/>
              </w:rPr>
              <w:t xml:space="preserve">) </w:t>
            </w:r>
            <w:proofErr w:type="spellStart"/>
            <w:r w:rsidRPr="008529C6">
              <w:rPr>
                <w:rFonts w:ascii="Times New Roman CE" w:hAnsi="Times New Roman CE" w:cs="Times New Roman CE"/>
                <w:b/>
                <w:bCs/>
                <w:sz w:val="20"/>
              </w:rPr>
              <w:t>módosí-tásai</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xml:space="preserve">Tárgyév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a</w:t>
            </w:r>
          </w:p>
        </w:tc>
        <w:tc>
          <w:tcPr>
            <w:tcW w:w="501" w:type="dxa"/>
            <w:tcBorders>
              <w:top w:val="nil"/>
              <w:left w:val="nil"/>
              <w:bottom w:val="single" w:sz="4" w:space="0" w:color="auto"/>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w:t>
            </w:r>
          </w:p>
        </w:tc>
        <w:tc>
          <w:tcPr>
            <w:tcW w:w="424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b</w:t>
            </w:r>
          </w:p>
        </w:tc>
        <w:tc>
          <w:tcPr>
            <w:tcW w:w="106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c</w:t>
            </w:r>
          </w:p>
        </w:tc>
        <w:tc>
          <w:tcPr>
            <w:tcW w:w="2342" w:type="dxa"/>
            <w:tcBorders>
              <w:top w:val="nil"/>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d</w:t>
            </w:r>
          </w:p>
        </w:tc>
        <w:tc>
          <w:tcPr>
            <w:tcW w:w="170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e</w:t>
            </w:r>
          </w:p>
        </w:tc>
      </w:tr>
      <w:tr w:rsidR="008529C6" w:rsidRPr="008529C6" w:rsidTr="008529C6">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92</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III.</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RÖVID LEJÁRATÚ KÖTELEZETTSÉGEK</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58 906</w:t>
            </w:r>
          </w:p>
        </w:tc>
        <w:tc>
          <w:tcPr>
            <w:tcW w:w="2342"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12 258</w:t>
            </w:r>
          </w:p>
        </w:tc>
        <w:tc>
          <w:tcPr>
            <w:tcW w:w="170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128 112</w:t>
            </w:r>
          </w:p>
        </w:tc>
      </w:tr>
      <w:tr w:rsidR="008529C6" w:rsidRPr="008529C6" w:rsidTr="008529C6">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93</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Rövid lejáratú kölcsönök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94</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ebből: az átváltoztatható kötvények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95</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Rövid lejáratú hitelek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96</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Vevőktől kapott előlegek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34</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162</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97</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Kötelezettségek áruszállításból és szolgáltatásból (szállítók)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26 362</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74 780</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98</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Váltótartozások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99</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Rövid lejáratú kötelezettségek kapcsolt vállalkozással szemben</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6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100</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Rövid lejáratú kötelezettségek jelentős részesedési viszonyban lévő vállalkozással szemben</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6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101</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Rövid lejáratú kötelezettségek egyéb részesedési viszonyban lévő vállalkozással szemben</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102</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Egyéb rövid lejáratú kötelezettségek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32 510</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12 258</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53 170</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103</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Kötelezettségek értékelési különbözete</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104</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Származékos ügyletek negatív értékelési különbözete</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105</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G.</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Passzív időbeli elhatárolások</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29 462</w:t>
            </w:r>
          </w:p>
        </w:tc>
        <w:tc>
          <w:tcPr>
            <w:tcW w:w="2342"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23 824</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106</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Bevételek passzív időbeli elhatárolása</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30</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1 266</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107</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Költségek, ráfordítások passzív időbeli elhatárolása</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6 580</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5 254</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108</w:t>
            </w:r>
          </w:p>
        </w:tc>
        <w:tc>
          <w:tcPr>
            <w:tcW w:w="501"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nil"/>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Halasztott bevételek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22 852</w:t>
            </w:r>
          </w:p>
        </w:tc>
        <w:tc>
          <w:tcPr>
            <w:tcW w:w="2342"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701"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17 304</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hideMark/>
          </w:tcPr>
          <w:p w:rsidR="008529C6" w:rsidRPr="008529C6" w:rsidRDefault="008529C6" w:rsidP="008529C6">
            <w:pPr>
              <w:suppressAutoHyphens w:val="0"/>
              <w:rPr>
                <w:rFonts w:ascii="Times New Roman CE" w:hAnsi="Times New Roman CE" w:cs="Times New Roman CE"/>
                <w:sz w:val="20"/>
              </w:rPr>
            </w:pP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109</w:t>
            </w:r>
          </w:p>
        </w:tc>
        <w:tc>
          <w:tcPr>
            <w:tcW w:w="501"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4241" w:type="dxa"/>
            <w:tcBorders>
              <w:top w:val="single" w:sz="4" w:space="0" w:color="auto"/>
              <w:left w:val="nil"/>
              <w:bottom w:val="single" w:sz="4" w:space="0" w:color="auto"/>
              <w:right w:val="single" w:sz="4" w:space="0" w:color="auto"/>
            </w:tcBorders>
            <w:shd w:val="clear" w:color="auto" w:fill="auto"/>
            <w:noWrap/>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Források összesen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225 523</w:t>
            </w:r>
          </w:p>
        </w:tc>
        <w:tc>
          <w:tcPr>
            <w:tcW w:w="2342" w:type="dxa"/>
            <w:tcBorders>
              <w:top w:val="single" w:sz="4" w:space="0" w:color="auto"/>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52 942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345 784</w:t>
            </w: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1161" w:type="dxa"/>
            <w:gridSpan w:val="2"/>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Keltezés:</w:t>
            </w: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2020. május 11.</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501"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42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2342"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a vállalkozás vezetője (képviselője)</w:t>
            </w:r>
          </w:p>
        </w:tc>
        <w:tc>
          <w:tcPr>
            <w:tcW w:w="170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bl>
    <w:p w:rsidR="008529C6" w:rsidRPr="008529C6" w:rsidRDefault="008529C6" w:rsidP="008529C6">
      <w:pPr>
        <w:suppressAutoHyphens w:val="0"/>
        <w:spacing w:after="200" w:line="276" w:lineRule="auto"/>
        <w:rPr>
          <w:rFonts w:eastAsiaTheme="minorHAnsi"/>
          <w:sz w:val="22"/>
          <w:szCs w:val="22"/>
          <w:lang w:eastAsia="en-US"/>
        </w:rPr>
        <w:sectPr w:rsidR="008529C6" w:rsidRPr="008529C6" w:rsidSect="008529C6">
          <w:pgSz w:w="11906" w:h="16838"/>
          <w:pgMar w:top="720" w:right="720" w:bottom="720" w:left="720" w:header="708" w:footer="708" w:gutter="0"/>
          <w:cols w:space="708"/>
          <w:docGrid w:linePitch="360"/>
        </w:sectPr>
      </w:pPr>
    </w:p>
    <w:tbl>
      <w:tblPr>
        <w:tblW w:w="10052" w:type="dxa"/>
        <w:tblInd w:w="55" w:type="dxa"/>
        <w:tblCellMar>
          <w:left w:w="70" w:type="dxa"/>
          <w:right w:w="70" w:type="dxa"/>
        </w:tblCellMar>
        <w:tblLook w:val="04A0" w:firstRow="1" w:lastRow="0" w:firstColumn="1" w:lastColumn="0" w:noHBand="0" w:noVBand="1"/>
      </w:tblPr>
      <w:tblGrid>
        <w:gridCol w:w="660"/>
        <w:gridCol w:w="700"/>
        <w:gridCol w:w="5176"/>
        <w:gridCol w:w="1060"/>
        <w:gridCol w:w="1020"/>
        <w:gridCol w:w="1436"/>
      </w:tblGrid>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70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17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12533868 3811 572 16</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2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43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70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17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Statisztikai számjel</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2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43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70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17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2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43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70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17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16-09-006169</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b/>
                <w:bCs/>
                <w:sz w:val="20"/>
              </w:rPr>
            </w:pPr>
            <w:r w:rsidRPr="008529C6">
              <w:rPr>
                <w:rFonts w:ascii="Times New Roman CE" w:hAnsi="Times New Roman CE" w:cs="Times New Roman CE"/>
                <w:b/>
                <w:bCs/>
                <w:sz w:val="20"/>
              </w:rPr>
              <w:t>21</w:t>
            </w:r>
          </w:p>
        </w:tc>
        <w:tc>
          <w:tcPr>
            <w:tcW w:w="102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43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70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17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Cégjegyzék száma</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2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43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70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8692" w:type="dxa"/>
            <w:gridSpan w:val="4"/>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Törökszentmiklósi Kommunális Szolgáltató Nonprofit Kft.</w:t>
            </w:r>
          </w:p>
        </w:tc>
      </w:tr>
      <w:tr w:rsidR="008529C6" w:rsidRPr="008529C6" w:rsidTr="008529C6">
        <w:trPr>
          <w:trHeight w:val="318"/>
        </w:trPr>
        <w:tc>
          <w:tcPr>
            <w:tcW w:w="6536" w:type="dxa"/>
            <w:gridSpan w:val="3"/>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"A" EREDMÉNYKIMUTATÁS (összköltség eljárással)</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2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43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00"/>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70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176"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2019. december 31.</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2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436"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adatok E Ft-ban</w:t>
            </w:r>
          </w:p>
        </w:tc>
      </w:tr>
      <w:tr w:rsidR="008529C6" w:rsidRPr="008529C6" w:rsidTr="008529C6">
        <w:trPr>
          <w:trHeight w:val="108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Sor-szám</w:t>
            </w:r>
          </w:p>
        </w:tc>
        <w:tc>
          <w:tcPr>
            <w:tcW w:w="700"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w:t>
            </w:r>
          </w:p>
        </w:tc>
        <w:tc>
          <w:tcPr>
            <w:tcW w:w="5176" w:type="dxa"/>
            <w:tcBorders>
              <w:top w:val="single" w:sz="4" w:space="0" w:color="auto"/>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A tétel megnevezése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Előző év</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xml:space="preserve">Előző </w:t>
            </w:r>
            <w:proofErr w:type="gramStart"/>
            <w:r w:rsidRPr="008529C6">
              <w:rPr>
                <w:rFonts w:ascii="Times New Roman CE" w:hAnsi="Times New Roman CE" w:cs="Times New Roman CE"/>
                <w:b/>
                <w:bCs/>
                <w:sz w:val="20"/>
              </w:rPr>
              <w:t>év(</w:t>
            </w:r>
            <w:proofErr w:type="spellStart"/>
            <w:proofErr w:type="gramEnd"/>
            <w:r w:rsidRPr="008529C6">
              <w:rPr>
                <w:rFonts w:ascii="Times New Roman CE" w:hAnsi="Times New Roman CE" w:cs="Times New Roman CE"/>
                <w:b/>
                <w:bCs/>
                <w:sz w:val="20"/>
              </w:rPr>
              <w:t>ek</w:t>
            </w:r>
            <w:proofErr w:type="spellEnd"/>
            <w:r w:rsidRPr="008529C6">
              <w:rPr>
                <w:rFonts w:ascii="Times New Roman CE" w:hAnsi="Times New Roman CE" w:cs="Times New Roman CE"/>
                <w:b/>
                <w:bCs/>
                <w:sz w:val="20"/>
              </w:rPr>
              <w:t xml:space="preserve">) </w:t>
            </w:r>
            <w:proofErr w:type="spellStart"/>
            <w:r w:rsidRPr="008529C6">
              <w:rPr>
                <w:rFonts w:ascii="Times New Roman CE" w:hAnsi="Times New Roman CE" w:cs="Times New Roman CE"/>
                <w:b/>
                <w:bCs/>
                <w:sz w:val="20"/>
              </w:rPr>
              <w:t>módosí-tásai</w:t>
            </w:r>
            <w:proofErr w:type="spellEnd"/>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xml:space="preserve">Tárgyév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a</w:t>
            </w:r>
          </w:p>
        </w:tc>
        <w:tc>
          <w:tcPr>
            <w:tcW w:w="700" w:type="dxa"/>
            <w:tcBorders>
              <w:top w:val="nil"/>
              <w:left w:val="nil"/>
              <w:bottom w:val="single" w:sz="4" w:space="0" w:color="auto"/>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w:t>
            </w:r>
          </w:p>
        </w:tc>
        <w:tc>
          <w:tcPr>
            <w:tcW w:w="5176"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b</w:t>
            </w:r>
          </w:p>
        </w:tc>
        <w:tc>
          <w:tcPr>
            <w:tcW w:w="106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c</w:t>
            </w:r>
          </w:p>
        </w:tc>
        <w:tc>
          <w:tcPr>
            <w:tcW w:w="1020" w:type="dxa"/>
            <w:tcBorders>
              <w:top w:val="nil"/>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d</w:t>
            </w:r>
          </w:p>
        </w:tc>
        <w:tc>
          <w:tcPr>
            <w:tcW w:w="1436"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e</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Belföldi értékesítés nettó árbevétele</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415 060</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41 687</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451 834</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Exportértékesítés nettó árbevétele</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I.</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Értékesítés nettó árbevétele (01+02)</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415 060</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41 687</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451 834</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Saját termelésű készletek állományváltozása ±</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5</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Saját előállítású eszközök aktivált értéke</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6</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II.</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Aktivált saját teljesítmények értéke (±03+04)</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7</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III.</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Egyéb bevételek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13 200</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19 058</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8</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ebből: visszaírt értékvesztés</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6 793</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11 918</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9</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5</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Anyagköltség</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47 760</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66 334</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10</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6</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Igénybe vett szolgáltatások értéke</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66 418</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87 556</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11</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7</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Egyéb szolgáltatások értéke</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7 372</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8 461</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12</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8</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Eladott áruk beszerzési értéke</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70 345</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69 655</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13</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9</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Eladott (közvetített) szolgáltatások értéke</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37 083</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5 977</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14</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IV.</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Anyagjellegű ráfordítások (05+06+07+08+09)</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228 978</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237 983</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15</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10</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Bérköltség</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126 245</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150 238</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16</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11</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Személyi jellegű egyéb kifizetések</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3 835</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4 754</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17</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12</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Bérjárulékok</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27 419</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29 090</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18</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V.</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Személyi jellegű ráfordítások (10+11+12)</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157 499</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184 082</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19</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VI.</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 xml:space="preserve">Értékcsökkenési leírás </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12 203</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11 894</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20</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VII.</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Egyéb ráfordítások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17 804</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959</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20 050</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21</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ebből: értékvesztés</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22</w:t>
            </w:r>
          </w:p>
        </w:tc>
        <w:tc>
          <w:tcPr>
            <w:tcW w:w="700" w:type="dxa"/>
            <w:tcBorders>
              <w:top w:val="nil"/>
              <w:left w:val="nil"/>
              <w:bottom w:val="single" w:sz="4" w:space="0" w:color="auto"/>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A.</w:t>
            </w:r>
          </w:p>
        </w:tc>
        <w:tc>
          <w:tcPr>
            <w:tcW w:w="5176" w:type="dxa"/>
            <w:tcBorders>
              <w:top w:val="nil"/>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 xml:space="preserve">ÜZEMI (ÜZLETI) TEVÉKENYSÉG </w:t>
            </w:r>
            <w:proofErr w:type="gramStart"/>
            <w:r w:rsidRPr="008529C6">
              <w:rPr>
                <w:rFonts w:ascii="Times New Roman CE" w:hAnsi="Times New Roman CE" w:cs="Times New Roman CE"/>
                <w:b/>
                <w:bCs/>
                <w:sz w:val="20"/>
              </w:rPr>
              <w:t>EREDMÉNYE  (</w:t>
            </w:r>
            <w:proofErr w:type="gramEnd"/>
            <w:r w:rsidRPr="008529C6">
              <w:rPr>
                <w:rFonts w:ascii="Times New Roman CE" w:hAnsi="Times New Roman CE" w:cs="Times New Roman CE"/>
                <w:b/>
                <w:bCs/>
                <w:sz w:val="20"/>
              </w:rPr>
              <w:t>I±II+III-IV-V-VI-VII)</w:t>
            </w:r>
          </w:p>
        </w:tc>
        <w:tc>
          <w:tcPr>
            <w:tcW w:w="106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11 776</w:t>
            </w:r>
          </w:p>
        </w:tc>
        <w:tc>
          <w:tcPr>
            <w:tcW w:w="102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40 728</w:t>
            </w:r>
          </w:p>
        </w:tc>
        <w:tc>
          <w:tcPr>
            <w:tcW w:w="1436"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16 883</w:t>
            </w:r>
          </w:p>
        </w:tc>
      </w:tr>
    </w:tbl>
    <w:p w:rsidR="008529C6" w:rsidRPr="008529C6" w:rsidRDefault="008529C6" w:rsidP="008529C6">
      <w:pPr>
        <w:suppressAutoHyphens w:val="0"/>
        <w:spacing w:after="200" w:line="276" w:lineRule="auto"/>
        <w:rPr>
          <w:rFonts w:eastAsiaTheme="minorHAnsi"/>
          <w:sz w:val="22"/>
          <w:szCs w:val="22"/>
          <w:lang w:eastAsia="en-US"/>
        </w:rPr>
        <w:sectPr w:rsidR="008529C6" w:rsidRPr="008529C6" w:rsidSect="008529C6">
          <w:pgSz w:w="11906" w:h="16838"/>
          <w:pgMar w:top="720" w:right="720" w:bottom="720" w:left="720" w:header="708" w:footer="708" w:gutter="0"/>
          <w:cols w:space="708"/>
          <w:docGrid w:linePitch="360"/>
        </w:sectPr>
      </w:pPr>
    </w:p>
    <w:tbl>
      <w:tblPr>
        <w:tblW w:w="10052" w:type="dxa"/>
        <w:tblInd w:w="55" w:type="dxa"/>
        <w:tblCellMar>
          <w:left w:w="70" w:type="dxa"/>
          <w:right w:w="70" w:type="dxa"/>
        </w:tblCellMar>
        <w:tblLook w:val="04A0" w:firstRow="1" w:lastRow="0" w:firstColumn="1" w:lastColumn="0" w:noHBand="0" w:noVBand="1"/>
      </w:tblPr>
      <w:tblGrid>
        <w:gridCol w:w="660"/>
        <w:gridCol w:w="700"/>
        <w:gridCol w:w="5176"/>
        <w:gridCol w:w="1060"/>
        <w:gridCol w:w="1020"/>
        <w:gridCol w:w="1436"/>
      </w:tblGrid>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70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17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12533868 3811 572 16</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2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43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70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17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Statisztikai számjel</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2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43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70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17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2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43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70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17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16-09-006169</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b/>
                <w:bCs/>
                <w:sz w:val="20"/>
              </w:rPr>
            </w:pPr>
            <w:r w:rsidRPr="008529C6">
              <w:rPr>
                <w:rFonts w:ascii="Times New Roman CE" w:hAnsi="Times New Roman CE" w:cs="Times New Roman CE"/>
                <w:b/>
                <w:bCs/>
                <w:sz w:val="20"/>
              </w:rPr>
              <w:t>22</w:t>
            </w:r>
          </w:p>
        </w:tc>
        <w:tc>
          <w:tcPr>
            <w:tcW w:w="102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43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70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17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Cégjegyzék száma</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2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43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70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8692" w:type="dxa"/>
            <w:gridSpan w:val="4"/>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Törökszentmiklósi Kommunális Szolgáltató Nonprofit Kft.</w:t>
            </w:r>
          </w:p>
        </w:tc>
      </w:tr>
      <w:tr w:rsidR="008529C6" w:rsidRPr="008529C6" w:rsidTr="008529C6">
        <w:trPr>
          <w:trHeight w:val="318"/>
        </w:trPr>
        <w:tc>
          <w:tcPr>
            <w:tcW w:w="6536" w:type="dxa"/>
            <w:gridSpan w:val="3"/>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"A" EREDMÉNYKIMUTATÁS (összköltség eljárással)</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02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1436"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r>
      <w:tr w:rsidR="008529C6" w:rsidRPr="008529C6" w:rsidTr="008529C6">
        <w:trPr>
          <w:trHeight w:val="318"/>
        </w:trPr>
        <w:tc>
          <w:tcPr>
            <w:tcW w:w="6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p>
        </w:tc>
        <w:tc>
          <w:tcPr>
            <w:tcW w:w="700"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p>
        </w:tc>
        <w:tc>
          <w:tcPr>
            <w:tcW w:w="5176"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2019. december 31.</w:t>
            </w:r>
          </w:p>
        </w:tc>
        <w:tc>
          <w:tcPr>
            <w:tcW w:w="106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p>
        </w:tc>
        <w:tc>
          <w:tcPr>
            <w:tcW w:w="102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p>
        </w:tc>
        <w:tc>
          <w:tcPr>
            <w:tcW w:w="1436"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adatok E Ft-ban</w:t>
            </w:r>
          </w:p>
        </w:tc>
      </w:tr>
      <w:tr w:rsidR="008529C6" w:rsidRPr="008529C6" w:rsidTr="008529C6">
        <w:trPr>
          <w:trHeight w:val="117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Sor-szám</w:t>
            </w:r>
          </w:p>
        </w:tc>
        <w:tc>
          <w:tcPr>
            <w:tcW w:w="700"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5176" w:type="dxa"/>
            <w:tcBorders>
              <w:top w:val="single" w:sz="4" w:space="0" w:color="auto"/>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A tétel megnevezése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Előző év</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xml:space="preserve">Előző </w:t>
            </w:r>
            <w:proofErr w:type="gramStart"/>
            <w:r w:rsidRPr="008529C6">
              <w:rPr>
                <w:rFonts w:ascii="Times New Roman CE" w:hAnsi="Times New Roman CE" w:cs="Times New Roman CE"/>
                <w:b/>
                <w:bCs/>
                <w:sz w:val="20"/>
              </w:rPr>
              <w:t>év(</w:t>
            </w:r>
            <w:proofErr w:type="spellStart"/>
            <w:proofErr w:type="gramEnd"/>
            <w:r w:rsidRPr="008529C6">
              <w:rPr>
                <w:rFonts w:ascii="Times New Roman CE" w:hAnsi="Times New Roman CE" w:cs="Times New Roman CE"/>
                <w:b/>
                <w:bCs/>
                <w:sz w:val="20"/>
              </w:rPr>
              <w:t>ek</w:t>
            </w:r>
            <w:proofErr w:type="spellEnd"/>
            <w:r w:rsidRPr="008529C6">
              <w:rPr>
                <w:rFonts w:ascii="Times New Roman CE" w:hAnsi="Times New Roman CE" w:cs="Times New Roman CE"/>
                <w:b/>
                <w:bCs/>
                <w:sz w:val="20"/>
              </w:rPr>
              <w:t xml:space="preserve">) </w:t>
            </w:r>
            <w:proofErr w:type="spellStart"/>
            <w:r w:rsidRPr="008529C6">
              <w:rPr>
                <w:rFonts w:ascii="Times New Roman CE" w:hAnsi="Times New Roman CE" w:cs="Times New Roman CE"/>
                <w:b/>
                <w:bCs/>
                <w:sz w:val="20"/>
              </w:rPr>
              <w:t>módosí-tásai</w:t>
            </w:r>
            <w:proofErr w:type="spellEnd"/>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xml:space="preserve">Tárgyév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a</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5176"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b</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c</w:t>
            </w:r>
          </w:p>
        </w:tc>
        <w:tc>
          <w:tcPr>
            <w:tcW w:w="1020" w:type="dxa"/>
            <w:tcBorders>
              <w:top w:val="nil"/>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d</w:t>
            </w:r>
          </w:p>
        </w:tc>
        <w:tc>
          <w:tcPr>
            <w:tcW w:w="1436"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e</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23</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13</w:t>
            </w:r>
          </w:p>
        </w:tc>
        <w:tc>
          <w:tcPr>
            <w:tcW w:w="5176" w:type="dxa"/>
            <w:tcBorders>
              <w:top w:val="single" w:sz="4" w:space="0" w:color="auto"/>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Kapott (járó) osztalék és részesedés</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24</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ebből: kapcsolt vállalkozástól kapott</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25</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14</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Részesedésekből származó bevételek, árfolyamnyereségek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26</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ebből: kapcsolt vállalkozástól kapott</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27</w:t>
            </w:r>
          </w:p>
        </w:tc>
        <w:tc>
          <w:tcPr>
            <w:tcW w:w="700" w:type="dxa"/>
            <w:tcBorders>
              <w:top w:val="nil"/>
              <w:left w:val="nil"/>
              <w:bottom w:val="single" w:sz="4" w:space="0" w:color="auto"/>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15</w:t>
            </w:r>
          </w:p>
        </w:tc>
        <w:tc>
          <w:tcPr>
            <w:tcW w:w="5176" w:type="dxa"/>
            <w:tcBorders>
              <w:top w:val="nil"/>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Befektetett pénzügyi eszközökből (értékpapírok, kölcsönök) származó bevételek árfolyamnyereségek</w:t>
            </w:r>
          </w:p>
        </w:tc>
        <w:tc>
          <w:tcPr>
            <w:tcW w:w="1060" w:type="dxa"/>
            <w:tcBorders>
              <w:top w:val="nil"/>
              <w:left w:val="nil"/>
              <w:bottom w:val="single" w:sz="4" w:space="0" w:color="auto"/>
              <w:right w:val="single" w:sz="4" w:space="0" w:color="auto"/>
            </w:tcBorders>
            <w:shd w:val="clear" w:color="000000" w:fill="FFFFCC"/>
            <w:noWrap/>
            <w:vAlign w:val="center"/>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center"/>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center"/>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28</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ebből: kapcsolt vállalkozástól kapott</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29</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16</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xml:space="preserve">Egyéb kapott (járó) kamatok és </w:t>
            </w:r>
            <w:proofErr w:type="gramStart"/>
            <w:r w:rsidRPr="008529C6">
              <w:rPr>
                <w:rFonts w:ascii="Times New Roman CE" w:hAnsi="Times New Roman CE" w:cs="Times New Roman CE"/>
                <w:sz w:val="20"/>
              </w:rPr>
              <w:t>kamatjellegű  bevételek</w:t>
            </w:r>
            <w:proofErr w:type="gramEnd"/>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7</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30</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ebből: kapcsolt vállalkozástól kapott</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31</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17</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Pénzügyi műveletek egyéb bevételei</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32</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ebből: értékelési különbözet</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33</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VIII.</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Pénzügyi műveletek bevételei (13+14+15+16+17)</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7</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5</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34</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18</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Részesedésekből származó ráfordítások, árfolyamveszteségek</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35</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 </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ebből: kapcsolt vállalkozásnak adott</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36</w:t>
            </w:r>
          </w:p>
        </w:tc>
        <w:tc>
          <w:tcPr>
            <w:tcW w:w="700" w:type="dxa"/>
            <w:tcBorders>
              <w:top w:val="nil"/>
              <w:left w:val="nil"/>
              <w:bottom w:val="single" w:sz="4" w:space="0" w:color="auto"/>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19</w:t>
            </w:r>
          </w:p>
        </w:tc>
        <w:tc>
          <w:tcPr>
            <w:tcW w:w="5176" w:type="dxa"/>
            <w:tcBorders>
              <w:top w:val="nil"/>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Befektetett pénzügyi eszközökből (értékpapírok, kölcsönök) származó ráfordítások, árfolyamveszteségek</w:t>
            </w:r>
          </w:p>
        </w:tc>
        <w:tc>
          <w:tcPr>
            <w:tcW w:w="1060" w:type="dxa"/>
            <w:tcBorders>
              <w:top w:val="nil"/>
              <w:left w:val="nil"/>
              <w:bottom w:val="single" w:sz="4" w:space="0" w:color="auto"/>
              <w:right w:val="single" w:sz="4" w:space="0" w:color="auto"/>
            </w:tcBorders>
            <w:shd w:val="clear" w:color="000000" w:fill="FFFFCC"/>
            <w:noWrap/>
            <w:vAlign w:val="center"/>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center"/>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center"/>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37</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color w:val="FF0000"/>
                <w:sz w:val="20"/>
              </w:rPr>
            </w:pPr>
            <w:r w:rsidRPr="008529C6">
              <w:rPr>
                <w:rFonts w:ascii="Times New Roman CE" w:hAnsi="Times New Roman CE" w:cs="Times New Roman CE"/>
                <w:color w:val="FF0000"/>
                <w:sz w:val="20"/>
              </w:rPr>
              <w:t> </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ebből: kapcsolt vállalkozásnak adott</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38</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20</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Fizetendő kamatok és kamatjellegű ráfordítások</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39</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ebből: kapcsolt vállalkozásnak adott</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40</w:t>
            </w:r>
          </w:p>
        </w:tc>
        <w:tc>
          <w:tcPr>
            <w:tcW w:w="700" w:type="dxa"/>
            <w:tcBorders>
              <w:top w:val="nil"/>
              <w:left w:val="nil"/>
              <w:bottom w:val="single" w:sz="4" w:space="0" w:color="auto"/>
              <w:right w:val="nil"/>
            </w:tcBorders>
            <w:shd w:val="clear" w:color="auto" w:fill="auto"/>
            <w:noWrap/>
            <w:vAlign w:val="center"/>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21</w:t>
            </w:r>
          </w:p>
        </w:tc>
        <w:tc>
          <w:tcPr>
            <w:tcW w:w="5176" w:type="dxa"/>
            <w:tcBorders>
              <w:top w:val="nil"/>
              <w:left w:val="nil"/>
              <w:bottom w:val="single" w:sz="4" w:space="0" w:color="auto"/>
              <w:right w:val="single" w:sz="4" w:space="0" w:color="auto"/>
            </w:tcBorders>
            <w:shd w:val="clear" w:color="auto" w:fill="auto"/>
            <w:vAlign w:val="center"/>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Részesedések, értékpapírok, tartósan adott kölcsönök, bankbetétek értékvesztése</w:t>
            </w:r>
          </w:p>
        </w:tc>
        <w:tc>
          <w:tcPr>
            <w:tcW w:w="1060" w:type="dxa"/>
            <w:tcBorders>
              <w:top w:val="nil"/>
              <w:left w:val="nil"/>
              <w:bottom w:val="single" w:sz="4" w:space="0" w:color="auto"/>
              <w:right w:val="single" w:sz="4" w:space="0" w:color="auto"/>
            </w:tcBorders>
            <w:shd w:val="clear" w:color="000000" w:fill="FFFFCC"/>
            <w:noWrap/>
            <w:vAlign w:val="center"/>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center"/>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center"/>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41</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22</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Pénzügyi műveletek egyéb ráfordításai</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46</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 </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ebből: értékelési különbözet</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rPr>
                <w:rFonts w:ascii="Times New Roman CE" w:hAnsi="Times New Roman CE" w:cs="Times New Roman CE"/>
                <w:sz w:val="20"/>
              </w:rPr>
            </w:pPr>
            <w:r w:rsidRPr="008529C6">
              <w:rPr>
                <w:rFonts w:ascii="Times New Roman CE" w:hAnsi="Times New Roman CE" w:cs="Times New Roman CE"/>
                <w:sz w:val="20"/>
              </w:rPr>
              <w:t> </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42</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IX.</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Pénzügyi műveletek ráfordításai (18+19±20+21+22)</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46</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43</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B.</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PÉNZÜGYI MŰVELETEK EREDMÉNYE (VIII-IX)</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7</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0</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-41</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44</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C.</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ADÓZÁS ELŐTTI EREDMÉNY (±</w:t>
            </w:r>
            <w:proofErr w:type="gramStart"/>
            <w:r w:rsidRPr="008529C6">
              <w:rPr>
                <w:rFonts w:ascii="Times New Roman CE" w:hAnsi="Times New Roman CE" w:cs="Times New Roman CE"/>
                <w:b/>
                <w:bCs/>
                <w:sz w:val="20"/>
              </w:rPr>
              <w:t>A</w:t>
            </w:r>
            <w:proofErr w:type="gramEnd"/>
            <w:r w:rsidRPr="008529C6">
              <w:rPr>
                <w:rFonts w:ascii="Times New Roman CE" w:hAnsi="Times New Roman CE" w:cs="Times New Roman CE"/>
                <w:b/>
                <w:bCs/>
                <w:sz w:val="20"/>
              </w:rPr>
              <w:t>±B)</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11 783</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40 728</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16 842</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45</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X.</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Adófizetési kötelezettség</w:t>
            </w:r>
          </w:p>
        </w:tc>
        <w:tc>
          <w:tcPr>
            <w:tcW w:w="106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17</w:t>
            </w:r>
          </w:p>
        </w:tc>
        <w:tc>
          <w:tcPr>
            <w:tcW w:w="1020"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44</w:t>
            </w:r>
          </w:p>
        </w:tc>
        <w:tc>
          <w:tcPr>
            <w:tcW w:w="1436" w:type="dxa"/>
            <w:tcBorders>
              <w:top w:val="nil"/>
              <w:left w:val="nil"/>
              <w:bottom w:val="single" w:sz="4" w:space="0" w:color="auto"/>
              <w:right w:val="single" w:sz="4" w:space="0" w:color="auto"/>
            </w:tcBorders>
            <w:shd w:val="clear" w:color="000000" w:fill="FFFFCC"/>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833</w:t>
            </w:r>
          </w:p>
        </w:tc>
      </w:tr>
      <w:tr w:rsidR="008529C6" w:rsidRPr="008529C6" w:rsidTr="008529C6">
        <w:trPr>
          <w:trHeight w:val="31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sz w:val="20"/>
              </w:rPr>
            </w:pPr>
            <w:r w:rsidRPr="008529C6">
              <w:rPr>
                <w:rFonts w:ascii="Times New Roman CE" w:hAnsi="Times New Roman CE" w:cs="Times New Roman CE"/>
                <w:sz w:val="20"/>
              </w:rPr>
              <w:t>46</w:t>
            </w:r>
          </w:p>
        </w:tc>
        <w:tc>
          <w:tcPr>
            <w:tcW w:w="700" w:type="dxa"/>
            <w:tcBorders>
              <w:top w:val="nil"/>
              <w:left w:val="nil"/>
              <w:bottom w:val="single" w:sz="4" w:space="0" w:color="auto"/>
              <w:right w:val="nil"/>
            </w:tcBorders>
            <w:shd w:val="clear" w:color="auto" w:fill="auto"/>
            <w:noWrap/>
            <w:vAlign w:val="bottom"/>
            <w:hideMark/>
          </w:tcPr>
          <w:p w:rsidR="008529C6" w:rsidRPr="008529C6" w:rsidRDefault="008529C6" w:rsidP="008529C6">
            <w:pPr>
              <w:suppressAutoHyphens w:val="0"/>
              <w:jc w:val="center"/>
              <w:rPr>
                <w:rFonts w:ascii="Times New Roman CE" w:hAnsi="Times New Roman CE" w:cs="Times New Roman CE"/>
                <w:b/>
                <w:bCs/>
                <w:sz w:val="20"/>
              </w:rPr>
            </w:pPr>
            <w:r w:rsidRPr="008529C6">
              <w:rPr>
                <w:rFonts w:ascii="Times New Roman CE" w:hAnsi="Times New Roman CE" w:cs="Times New Roman CE"/>
                <w:b/>
                <w:bCs/>
                <w:sz w:val="20"/>
              </w:rPr>
              <w:t>D.</w:t>
            </w:r>
          </w:p>
        </w:tc>
        <w:tc>
          <w:tcPr>
            <w:tcW w:w="517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Times New Roman CE" w:hAnsi="Times New Roman CE" w:cs="Times New Roman CE"/>
                <w:b/>
                <w:bCs/>
                <w:sz w:val="20"/>
              </w:rPr>
            </w:pPr>
            <w:r w:rsidRPr="008529C6">
              <w:rPr>
                <w:rFonts w:ascii="Times New Roman CE" w:hAnsi="Times New Roman CE" w:cs="Times New Roman CE"/>
                <w:b/>
                <w:bCs/>
                <w:sz w:val="20"/>
              </w:rPr>
              <w:t>ADÓZOTT EREDMÉNY (±C-X)</w:t>
            </w:r>
          </w:p>
        </w:tc>
        <w:tc>
          <w:tcPr>
            <w:tcW w:w="10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11 766</w:t>
            </w:r>
          </w:p>
        </w:tc>
        <w:tc>
          <w:tcPr>
            <w:tcW w:w="102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40 684</w:t>
            </w:r>
          </w:p>
        </w:tc>
        <w:tc>
          <w:tcPr>
            <w:tcW w:w="1436"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rFonts w:ascii="Times New Roman CE" w:hAnsi="Times New Roman CE" w:cs="Times New Roman CE"/>
                <w:sz w:val="20"/>
              </w:rPr>
            </w:pPr>
            <w:r w:rsidRPr="008529C6">
              <w:rPr>
                <w:rFonts w:ascii="Times New Roman CE" w:hAnsi="Times New Roman CE" w:cs="Times New Roman CE"/>
                <w:sz w:val="20"/>
              </w:rPr>
              <w:t>16 009</w:t>
            </w:r>
          </w:p>
        </w:tc>
      </w:tr>
    </w:tbl>
    <w:p w:rsidR="008529C6" w:rsidRPr="008529C6" w:rsidRDefault="008529C6" w:rsidP="008529C6">
      <w:pPr>
        <w:suppressAutoHyphens w:val="0"/>
        <w:spacing w:after="200" w:line="276" w:lineRule="auto"/>
        <w:rPr>
          <w:rFonts w:eastAsiaTheme="minorHAnsi"/>
          <w:sz w:val="22"/>
          <w:szCs w:val="22"/>
          <w:lang w:eastAsia="en-US"/>
        </w:rPr>
      </w:pPr>
    </w:p>
    <w:p w:rsidR="008529C6" w:rsidRDefault="008529C6">
      <w:pPr>
        <w:sectPr w:rsidR="008529C6" w:rsidSect="008529C6">
          <w:headerReference w:type="even" r:id="rId6"/>
          <w:headerReference w:type="default" r:id="rId7"/>
          <w:pgSz w:w="11906" w:h="16838"/>
          <w:pgMar w:top="851" w:right="1418" w:bottom="851" w:left="1418" w:header="709" w:footer="709" w:gutter="0"/>
          <w:cols w:space="708"/>
          <w:titlePg/>
          <w:docGrid w:linePitch="360"/>
        </w:sectPr>
      </w:pPr>
    </w:p>
    <w:p w:rsidR="008529C6" w:rsidRPr="008529C6" w:rsidRDefault="008529C6" w:rsidP="008529C6">
      <w:pPr>
        <w:suppressAutoHyphens w:val="0"/>
        <w:overflowPunct w:val="0"/>
        <w:autoSpaceDE w:val="0"/>
        <w:autoSpaceDN w:val="0"/>
        <w:adjustRightInd w:val="0"/>
        <w:rPr>
          <w:rFonts w:ascii="Bookman Old Style" w:hAnsi="Bookman Old Style"/>
          <w:b/>
          <w:sz w:val="48"/>
          <w:szCs w:val="24"/>
        </w:rPr>
      </w:pPr>
      <w:r w:rsidRPr="008529C6">
        <w:rPr>
          <w:rFonts w:ascii="Bookman Old Style" w:hAnsi="Bookman Old Style"/>
          <w:b/>
          <w:sz w:val="48"/>
          <w:szCs w:val="24"/>
        </w:rPr>
        <w:lastRenderedPageBreak/>
        <w:t xml:space="preserve">    </w:t>
      </w:r>
    </w:p>
    <w:p w:rsidR="008529C6" w:rsidRPr="008529C6" w:rsidRDefault="008529C6" w:rsidP="008529C6">
      <w:pPr>
        <w:suppressAutoHyphens w:val="0"/>
        <w:overflowPunct w:val="0"/>
        <w:autoSpaceDE w:val="0"/>
        <w:autoSpaceDN w:val="0"/>
        <w:adjustRightInd w:val="0"/>
        <w:rPr>
          <w:rFonts w:ascii="Bookman Old Style" w:hAnsi="Bookman Old Style"/>
          <w:b/>
          <w:sz w:val="48"/>
          <w:szCs w:val="24"/>
        </w:rPr>
      </w:pPr>
    </w:p>
    <w:p w:rsidR="008529C6" w:rsidRPr="008529C6" w:rsidRDefault="008529C6" w:rsidP="008529C6">
      <w:pPr>
        <w:suppressAutoHyphens w:val="0"/>
        <w:overflowPunct w:val="0"/>
        <w:autoSpaceDE w:val="0"/>
        <w:autoSpaceDN w:val="0"/>
        <w:adjustRightInd w:val="0"/>
        <w:rPr>
          <w:rFonts w:ascii="Bookman Old Style" w:hAnsi="Bookman Old Style"/>
          <w:b/>
          <w:sz w:val="48"/>
          <w:szCs w:val="24"/>
        </w:rPr>
      </w:pPr>
    </w:p>
    <w:p w:rsidR="008529C6" w:rsidRPr="008529C6" w:rsidRDefault="008529C6" w:rsidP="008529C6">
      <w:pPr>
        <w:suppressAutoHyphens w:val="0"/>
        <w:overflowPunct w:val="0"/>
        <w:autoSpaceDE w:val="0"/>
        <w:autoSpaceDN w:val="0"/>
        <w:adjustRightInd w:val="0"/>
        <w:rPr>
          <w:rFonts w:ascii="Bookman Old Style" w:hAnsi="Bookman Old Style"/>
          <w:b/>
          <w:sz w:val="48"/>
          <w:szCs w:val="24"/>
        </w:rPr>
      </w:pPr>
    </w:p>
    <w:p w:rsidR="008529C6" w:rsidRPr="008529C6" w:rsidRDefault="008529C6" w:rsidP="008529C6">
      <w:pPr>
        <w:suppressAutoHyphens w:val="0"/>
        <w:overflowPunct w:val="0"/>
        <w:autoSpaceDE w:val="0"/>
        <w:autoSpaceDN w:val="0"/>
        <w:adjustRightInd w:val="0"/>
        <w:rPr>
          <w:rFonts w:ascii="Bookman Old Style" w:hAnsi="Bookman Old Style"/>
          <w:b/>
          <w:sz w:val="48"/>
          <w:szCs w:val="24"/>
        </w:rPr>
      </w:pPr>
    </w:p>
    <w:p w:rsidR="008529C6" w:rsidRPr="008529C6" w:rsidRDefault="008529C6" w:rsidP="008529C6">
      <w:pPr>
        <w:suppressAutoHyphens w:val="0"/>
        <w:overflowPunct w:val="0"/>
        <w:autoSpaceDE w:val="0"/>
        <w:autoSpaceDN w:val="0"/>
        <w:adjustRightInd w:val="0"/>
        <w:rPr>
          <w:rFonts w:ascii="Bookman Old Style" w:hAnsi="Bookman Old Style"/>
          <w:b/>
          <w:sz w:val="48"/>
          <w:szCs w:val="24"/>
        </w:rPr>
      </w:pPr>
    </w:p>
    <w:p w:rsidR="008529C6" w:rsidRPr="008529C6" w:rsidRDefault="008529C6" w:rsidP="008529C6">
      <w:pPr>
        <w:suppressAutoHyphens w:val="0"/>
        <w:overflowPunct w:val="0"/>
        <w:autoSpaceDE w:val="0"/>
        <w:autoSpaceDN w:val="0"/>
        <w:adjustRightInd w:val="0"/>
        <w:rPr>
          <w:rFonts w:ascii="Bookman Old Style" w:hAnsi="Bookman Old Style"/>
          <w:b/>
          <w:sz w:val="48"/>
          <w:szCs w:val="24"/>
        </w:rPr>
      </w:pPr>
    </w:p>
    <w:p w:rsidR="008529C6" w:rsidRPr="008529C6" w:rsidRDefault="008529C6" w:rsidP="008529C6">
      <w:pPr>
        <w:suppressAutoHyphens w:val="0"/>
        <w:overflowPunct w:val="0"/>
        <w:autoSpaceDE w:val="0"/>
        <w:autoSpaceDN w:val="0"/>
        <w:adjustRightInd w:val="0"/>
        <w:rPr>
          <w:rFonts w:ascii="Bookman Old Style" w:hAnsi="Bookman Old Style"/>
          <w:b/>
          <w:sz w:val="48"/>
          <w:szCs w:val="24"/>
        </w:rPr>
      </w:pPr>
    </w:p>
    <w:p w:rsidR="008529C6" w:rsidRPr="008529C6" w:rsidRDefault="008529C6" w:rsidP="008529C6">
      <w:pPr>
        <w:suppressAutoHyphens w:val="0"/>
        <w:overflowPunct w:val="0"/>
        <w:autoSpaceDE w:val="0"/>
        <w:autoSpaceDN w:val="0"/>
        <w:adjustRightInd w:val="0"/>
        <w:jc w:val="center"/>
        <w:rPr>
          <w:rFonts w:ascii="Bookman Old Style" w:hAnsi="Bookman Old Style"/>
          <w:b/>
          <w:sz w:val="48"/>
        </w:rPr>
      </w:pPr>
      <w:r w:rsidRPr="008529C6">
        <w:rPr>
          <w:rFonts w:ascii="Bookman Old Style" w:hAnsi="Bookman Old Style"/>
          <w:b/>
          <w:sz w:val="48"/>
          <w:szCs w:val="24"/>
        </w:rPr>
        <w:t>KIEGÉSZÍTŐ MELLÉKLET</w:t>
      </w:r>
    </w:p>
    <w:p w:rsidR="008529C6" w:rsidRPr="008529C6" w:rsidRDefault="008529C6" w:rsidP="008529C6">
      <w:pPr>
        <w:suppressAutoHyphens w:val="0"/>
        <w:overflowPunct w:val="0"/>
        <w:autoSpaceDE w:val="0"/>
        <w:autoSpaceDN w:val="0"/>
        <w:adjustRightInd w:val="0"/>
        <w:jc w:val="center"/>
        <w:rPr>
          <w:rFonts w:ascii="Bookman Old Style" w:hAnsi="Bookman Old Style"/>
          <w:b/>
          <w:sz w:val="48"/>
        </w:rPr>
      </w:pPr>
    </w:p>
    <w:p w:rsidR="008529C6" w:rsidRPr="008529C6" w:rsidRDefault="008529C6" w:rsidP="008529C6">
      <w:pPr>
        <w:suppressAutoHyphens w:val="0"/>
        <w:overflowPunct w:val="0"/>
        <w:autoSpaceDE w:val="0"/>
        <w:autoSpaceDN w:val="0"/>
        <w:adjustRightInd w:val="0"/>
        <w:jc w:val="center"/>
        <w:rPr>
          <w:rFonts w:ascii="Bookman Old Style" w:hAnsi="Bookman Old Style"/>
          <w:b/>
          <w:sz w:val="48"/>
        </w:rPr>
      </w:pPr>
    </w:p>
    <w:p w:rsidR="008529C6" w:rsidRPr="008529C6" w:rsidRDefault="008529C6" w:rsidP="008529C6">
      <w:pPr>
        <w:suppressAutoHyphens w:val="0"/>
        <w:overflowPunct w:val="0"/>
        <w:autoSpaceDE w:val="0"/>
        <w:autoSpaceDN w:val="0"/>
        <w:adjustRightInd w:val="0"/>
        <w:jc w:val="center"/>
        <w:rPr>
          <w:rFonts w:ascii="Bookman Old Style" w:hAnsi="Bookman Old Style"/>
          <w:b/>
          <w:sz w:val="36"/>
        </w:rPr>
      </w:pPr>
      <w:r w:rsidRPr="008529C6">
        <w:rPr>
          <w:rFonts w:ascii="Bookman Old Style" w:hAnsi="Bookman Old Style"/>
          <w:b/>
          <w:sz w:val="36"/>
        </w:rPr>
        <w:t>A TÖRÖKSZENTMIKLÓSI KOMMUNÁLIS SZOLGÁLTATÓ NONPROFIT KFT.</w:t>
      </w:r>
    </w:p>
    <w:p w:rsidR="008529C6" w:rsidRPr="008529C6" w:rsidRDefault="008529C6" w:rsidP="008529C6">
      <w:pPr>
        <w:suppressAutoHyphens w:val="0"/>
        <w:overflowPunct w:val="0"/>
        <w:autoSpaceDE w:val="0"/>
        <w:autoSpaceDN w:val="0"/>
        <w:adjustRightInd w:val="0"/>
        <w:jc w:val="center"/>
        <w:rPr>
          <w:rFonts w:ascii="Arial" w:hAnsi="Arial"/>
          <w:sz w:val="28"/>
        </w:rPr>
      </w:pPr>
    </w:p>
    <w:p w:rsidR="008529C6" w:rsidRPr="008529C6" w:rsidRDefault="008529C6" w:rsidP="008529C6">
      <w:pPr>
        <w:suppressAutoHyphens w:val="0"/>
        <w:overflowPunct w:val="0"/>
        <w:autoSpaceDE w:val="0"/>
        <w:autoSpaceDN w:val="0"/>
        <w:adjustRightInd w:val="0"/>
        <w:jc w:val="center"/>
        <w:rPr>
          <w:rFonts w:ascii="Arial" w:hAnsi="Arial"/>
          <w:b/>
          <w:sz w:val="36"/>
        </w:rPr>
      </w:pPr>
      <w:r w:rsidRPr="008529C6">
        <w:rPr>
          <w:b/>
          <w:sz w:val="36"/>
          <w:szCs w:val="24"/>
        </w:rPr>
        <w:t>2019. DECEMBER 31. FORDULÓNAPPAL KÉSZÍTETT ÉVES BESZÁMOLÓJÁHOZ</w:t>
      </w:r>
    </w:p>
    <w:p w:rsidR="008529C6" w:rsidRPr="008529C6" w:rsidRDefault="008529C6" w:rsidP="008529C6">
      <w:pPr>
        <w:suppressAutoHyphens w:val="0"/>
        <w:overflowPunct w:val="0"/>
        <w:autoSpaceDE w:val="0"/>
        <w:autoSpaceDN w:val="0"/>
        <w:adjustRightInd w:val="0"/>
        <w:jc w:val="center"/>
        <w:rPr>
          <w:rFonts w:ascii="Arial" w:hAnsi="Arial"/>
          <w:b/>
          <w:sz w:val="28"/>
        </w:rPr>
      </w:pPr>
    </w:p>
    <w:p w:rsidR="008529C6" w:rsidRPr="008529C6" w:rsidRDefault="008529C6" w:rsidP="008529C6">
      <w:pPr>
        <w:suppressAutoHyphens w:val="0"/>
        <w:overflowPunct w:val="0"/>
        <w:autoSpaceDE w:val="0"/>
        <w:autoSpaceDN w:val="0"/>
        <w:adjustRightInd w:val="0"/>
        <w:jc w:val="center"/>
        <w:rPr>
          <w:rFonts w:ascii="Arial" w:hAnsi="Arial"/>
          <w:sz w:val="28"/>
        </w:rPr>
      </w:pPr>
    </w:p>
    <w:p w:rsidR="008529C6" w:rsidRPr="008529C6" w:rsidRDefault="008529C6" w:rsidP="008529C6">
      <w:pPr>
        <w:tabs>
          <w:tab w:val="left" w:pos="708"/>
          <w:tab w:val="center" w:pos="4536"/>
          <w:tab w:val="right" w:pos="9072"/>
        </w:tabs>
        <w:suppressAutoHyphens w:val="0"/>
        <w:overflowPunct w:val="0"/>
        <w:autoSpaceDE w:val="0"/>
        <w:autoSpaceDN w:val="0"/>
        <w:adjustRightInd w:val="0"/>
        <w:rPr>
          <w:rFonts w:ascii="Arial" w:hAnsi="Arial"/>
          <w:sz w:val="28"/>
        </w:rPr>
      </w:pPr>
    </w:p>
    <w:p w:rsidR="008529C6" w:rsidRPr="008529C6" w:rsidRDefault="008529C6" w:rsidP="008529C6">
      <w:pPr>
        <w:suppressAutoHyphens w:val="0"/>
        <w:overflowPunct w:val="0"/>
        <w:autoSpaceDE w:val="0"/>
        <w:autoSpaceDN w:val="0"/>
        <w:adjustRightInd w:val="0"/>
        <w:rPr>
          <w:rFonts w:ascii="Arial" w:hAnsi="Arial"/>
          <w:sz w:val="28"/>
        </w:rPr>
      </w:pPr>
    </w:p>
    <w:p w:rsidR="008529C6" w:rsidRPr="008529C6" w:rsidRDefault="008529C6" w:rsidP="008529C6">
      <w:pPr>
        <w:suppressAutoHyphens w:val="0"/>
        <w:overflowPunct w:val="0"/>
        <w:autoSpaceDE w:val="0"/>
        <w:autoSpaceDN w:val="0"/>
        <w:adjustRightInd w:val="0"/>
        <w:rPr>
          <w:rFonts w:ascii="Arial" w:hAnsi="Arial"/>
          <w:sz w:val="28"/>
        </w:rPr>
      </w:pPr>
    </w:p>
    <w:p w:rsidR="008529C6" w:rsidRPr="008529C6" w:rsidRDefault="008529C6" w:rsidP="008529C6">
      <w:pPr>
        <w:suppressAutoHyphens w:val="0"/>
        <w:overflowPunct w:val="0"/>
        <w:autoSpaceDE w:val="0"/>
        <w:autoSpaceDN w:val="0"/>
        <w:adjustRightInd w:val="0"/>
        <w:rPr>
          <w:rFonts w:ascii="Arial" w:hAnsi="Arial"/>
          <w:sz w:val="28"/>
        </w:rPr>
      </w:pPr>
    </w:p>
    <w:p w:rsidR="008529C6" w:rsidRPr="008529C6" w:rsidRDefault="008529C6" w:rsidP="008529C6">
      <w:pPr>
        <w:suppressAutoHyphens w:val="0"/>
        <w:overflowPunct w:val="0"/>
        <w:autoSpaceDE w:val="0"/>
        <w:autoSpaceDN w:val="0"/>
        <w:adjustRightInd w:val="0"/>
        <w:rPr>
          <w:rFonts w:ascii="Arial" w:hAnsi="Arial"/>
          <w:sz w:val="28"/>
        </w:rPr>
      </w:pPr>
    </w:p>
    <w:p w:rsidR="008529C6" w:rsidRPr="008529C6" w:rsidRDefault="008529C6" w:rsidP="008529C6">
      <w:pPr>
        <w:suppressAutoHyphens w:val="0"/>
        <w:overflowPunct w:val="0"/>
        <w:autoSpaceDE w:val="0"/>
        <w:autoSpaceDN w:val="0"/>
        <w:adjustRightInd w:val="0"/>
        <w:rPr>
          <w:rFonts w:ascii="Arial" w:hAnsi="Arial"/>
          <w:sz w:val="28"/>
        </w:rPr>
      </w:pPr>
    </w:p>
    <w:p w:rsidR="008529C6" w:rsidRPr="008529C6" w:rsidRDefault="008529C6" w:rsidP="008529C6">
      <w:pPr>
        <w:suppressAutoHyphens w:val="0"/>
        <w:overflowPunct w:val="0"/>
        <w:autoSpaceDE w:val="0"/>
        <w:autoSpaceDN w:val="0"/>
        <w:adjustRightInd w:val="0"/>
        <w:rPr>
          <w:rFonts w:ascii="Arial" w:hAnsi="Arial"/>
          <w:sz w:val="28"/>
        </w:rPr>
      </w:pPr>
    </w:p>
    <w:p w:rsidR="008529C6" w:rsidRPr="008529C6" w:rsidRDefault="008529C6" w:rsidP="008529C6">
      <w:pPr>
        <w:suppressAutoHyphens w:val="0"/>
        <w:overflowPunct w:val="0"/>
        <w:autoSpaceDE w:val="0"/>
        <w:autoSpaceDN w:val="0"/>
        <w:adjustRightInd w:val="0"/>
        <w:rPr>
          <w:rFonts w:ascii="Arial" w:hAnsi="Arial"/>
          <w:sz w:val="28"/>
        </w:rPr>
      </w:pPr>
    </w:p>
    <w:p w:rsidR="008529C6" w:rsidRPr="008529C6" w:rsidRDefault="008529C6" w:rsidP="008529C6">
      <w:pPr>
        <w:suppressAutoHyphens w:val="0"/>
        <w:overflowPunct w:val="0"/>
        <w:autoSpaceDE w:val="0"/>
        <w:autoSpaceDN w:val="0"/>
        <w:adjustRightInd w:val="0"/>
        <w:rPr>
          <w:rFonts w:ascii="Arial" w:hAnsi="Arial"/>
          <w:sz w:val="28"/>
        </w:rPr>
      </w:pPr>
    </w:p>
    <w:p w:rsidR="008529C6" w:rsidRPr="008529C6" w:rsidRDefault="008529C6" w:rsidP="008529C6">
      <w:pPr>
        <w:keepNext/>
        <w:suppressAutoHyphens w:val="0"/>
        <w:overflowPunct w:val="0"/>
        <w:autoSpaceDE w:val="0"/>
        <w:autoSpaceDN w:val="0"/>
        <w:adjustRightInd w:val="0"/>
        <w:outlineLvl w:val="0"/>
        <w:rPr>
          <w:rFonts w:ascii="Arial" w:eastAsia="Arial Unicode MS" w:hAnsi="Arial"/>
          <w:b/>
          <w:i/>
          <w:szCs w:val="24"/>
          <w:u w:val="single"/>
        </w:rPr>
      </w:pPr>
      <w:r w:rsidRPr="008529C6">
        <w:rPr>
          <w:rFonts w:ascii="Arial" w:eastAsia="Arial Unicode MS" w:hAnsi="Arial"/>
          <w:sz w:val="36"/>
        </w:rPr>
        <w:br w:type="page"/>
      </w:r>
      <w:r w:rsidRPr="008529C6">
        <w:rPr>
          <w:rFonts w:ascii="Arial" w:eastAsia="Arial Unicode MS" w:hAnsi="Arial"/>
          <w:b/>
          <w:i/>
          <w:szCs w:val="24"/>
          <w:u w:val="single"/>
        </w:rPr>
        <w:lastRenderedPageBreak/>
        <w:t>1. Általános rész</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pPr>
      <w:r w:rsidRPr="008529C6">
        <w:rPr>
          <w:szCs w:val="24"/>
        </w:rPr>
        <w:t xml:space="preserve">A Törökszentmiklósi Kommunális Szolgáltató Nonprofit Korlátolt Felelősségű Társaságot a Törökszentmiklós Városi Önkormányzat alapította, a 87/2000. (VII. 20.) K. </w:t>
      </w:r>
      <w:proofErr w:type="gramStart"/>
      <w:r w:rsidRPr="008529C6">
        <w:rPr>
          <w:szCs w:val="24"/>
        </w:rPr>
        <w:t>t</w:t>
      </w:r>
      <w:proofErr w:type="gramEnd"/>
      <w:r w:rsidRPr="008529C6">
        <w:rPr>
          <w:szCs w:val="24"/>
        </w:rPr>
        <w:t xml:space="preserve">. </w:t>
      </w:r>
      <w:proofErr w:type="gramStart"/>
      <w:r w:rsidRPr="008529C6">
        <w:rPr>
          <w:szCs w:val="24"/>
        </w:rPr>
        <w:t>számú</w:t>
      </w:r>
      <w:proofErr w:type="gramEnd"/>
      <w:r w:rsidRPr="008529C6">
        <w:rPr>
          <w:szCs w:val="24"/>
        </w:rPr>
        <w:t xml:space="preserve"> határozatával.</w:t>
      </w:r>
    </w:p>
    <w:p w:rsidR="008529C6" w:rsidRPr="008529C6" w:rsidRDefault="008529C6" w:rsidP="008529C6">
      <w:pPr>
        <w:suppressAutoHyphens w:val="0"/>
        <w:overflowPunct w:val="0"/>
        <w:autoSpaceDE w:val="0"/>
        <w:autoSpaceDN w:val="0"/>
        <w:adjustRightInd w:val="0"/>
        <w:jc w:val="both"/>
      </w:pPr>
      <w:r w:rsidRPr="008529C6">
        <w:rPr>
          <w:szCs w:val="24"/>
        </w:rPr>
        <w:t>A Társaság 2000. október 01-én kezdte meg működését.</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pPr>
      <w:r w:rsidRPr="008529C6">
        <w:rPr>
          <w:szCs w:val="24"/>
        </w:rPr>
        <w:t>A cég teljes neve: Törökszentmiklósi Kommunális Szolgáltató Nonprofit Korlátolt</w:t>
      </w:r>
    </w:p>
    <w:p w:rsidR="008529C6" w:rsidRPr="008529C6" w:rsidRDefault="008529C6" w:rsidP="008529C6">
      <w:pPr>
        <w:suppressAutoHyphens w:val="0"/>
        <w:overflowPunct w:val="0"/>
        <w:autoSpaceDE w:val="0"/>
        <w:autoSpaceDN w:val="0"/>
        <w:adjustRightInd w:val="0"/>
        <w:jc w:val="both"/>
      </w:pPr>
      <w:r w:rsidRPr="008529C6">
        <w:rPr>
          <w:szCs w:val="24"/>
        </w:rPr>
        <w:t xml:space="preserve">                              Felelősségű Társaság</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Székhelye</w:t>
      </w:r>
      <w:proofErr w:type="gramStart"/>
      <w:r w:rsidRPr="008529C6">
        <w:rPr>
          <w:szCs w:val="24"/>
        </w:rPr>
        <w:t>:             5200</w:t>
      </w:r>
      <w:proofErr w:type="gramEnd"/>
      <w:r w:rsidRPr="008529C6">
        <w:rPr>
          <w:szCs w:val="24"/>
        </w:rPr>
        <w:t xml:space="preserve"> Törökszentmiklós, Puskás Ferenc utca 12.</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 xml:space="preserve">A cég telephelyei: </w:t>
      </w:r>
    </w:p>
    <w:p w:rsidR="008529C6" w:rsidRPr="008529C6" w:rsidRDefault="008529C6" w:rsidP="008529C6">
      <w:pPr>
        <w:numPr>
          <w:ilvl w:val="0"/>
          <w:numId w:val="2"/>
        </w:numPr>
        <w:suppressAutoHyphens w:val="0"/>
        <w:ind w:right="23"/>
        <w:jc w:val="both"/>
        <w:rPr>
          <w:szCs w:val="24"/>
        </w:rPr>
      </w:pPr>
      <w:r w:rsidRPr="008529C6">
        <w:rPr>
          <w:szCs w:val="24"/>
        </w:rPr>
        <w:t>5200 Törökszentmiklós, Táncsics M. u., Vásártér 1064 hrsz.</w:t>
      </w:r>
    </w:p>
    <w:p w:rsidR="008529C6" w:rsidRPr="008529C6" w:rsidRDefault="008529C6" w:rsidP="008529C6">
      <w:pPr>
        <w:numPr>
          <w:ilvl w:val="0"/>
          <w:numId w:val="2"/>
        </w:numPr>
        <w:suppressAutoHyphens w:val="0"/>
        <w:ind w:right="23"/>
        <w:jc w:val="both"/>
        <w:rPr>
          <w:szCs w:val="24"/>
        </w:rPr>
      </w:pPr>
      <w:r w:rsidRPr="008529C6">
        <w:rPr>
          <w:szCs w:val="24"/>
        </w:rPr>
        <w:t>5200 Törökszentmiklós, Wesselényi u.51, Strandfürdő 1134/5 hrsz.</w:t>
      </w:r>
    </w:p>
    <w:p w:rsidR="008529C6" w:rsidRPr="008529C6" w:rsidRDefault="008529C6" w:rsidP="008529C6">
      <w:pPr>
        <w:numPr>
          <w:ilvl w:val="0"/>
          <w:numId w:val="2"/>
        </w:numPr>
        <w:suppressAutoHyphens w:val="0"/>
        <w:ind w:right="23"/>
        <w:jc w:val="both"/>
        <w:rPr>
          <w:szCs w:val="24"/>
        </w:rPr>
      </w:pPr>
      <w:r w:rsidRPr="008529C6">
        <w:rPr>
          <w:szCs w:val="24"/>
        </w:rPr>
        <w:t xml:space="preserve">5200 Törökszentmiklós, Wesselényi u.53, Kemping 1134/6 </w:t>
      </w:r>
      <w:proofErr w:type="spellStart"/>
      <w:r w:rsidRPr="008529C6">
        <w:rPr>
          <w:szCs w:val="24"/>
        </w:rPr>
        <w:t>hrsz</w:t>
      </w:r>
      <w:proofErr w:type="spellEnd"/>
    </w:p>
    <w:p w:rsidR="008529C6" w:rsidRPr="008529C6" w:rsidRDefault="008529C6" w:rsidP="008529C6">
      <w:pPr>
        <w:numPr>
          <w:ilvl w:val="0"/>
          <w:numId w:val="2"/>
        </w:numPr>
        <w:suppressAutoHyphens w:val="0"/>
        <w:overflowPunct w:val="0"/>
        <w:autoSpaceDE w:val="0"/>
        <w:autoSpaceDN w:val="0"/>
        <w:adjustRightInd w:val="0"/>
        <w:jc w:val="both"/>
      </w:pPr>
      <w:r w:rsidRPr="008529C6">
        <w:t>5200 Törökszentmiklós, Kertész u. 10.</w:t>
      </w:r>
    </w:p>
    <w:p w:rsidR="008529C6" w:rsidRPr="008529C6" w:rsidRDefault="008529C6" w:rsidP="008529C6">
      <w:pPr>
        <w:numPr>
          <w:ilvl w:val="0"/>
          <w:numId w:val="2"/>
        </w:numPr>
        <w:suppressAutoHyphens w:val="0"/>
        <w:overflowPunct w:val="0"/>
        <w:autoSpaceDE w:val="0"/>
        <w:autoSpaceDN w:val="0"/>
        <w:adjustRightInd w:val="0"/>
        <w:jc w:val="both"/>
      </w:pPr>
      <w:r w:rsidRPr="008529C6">
        <w:t>5200 Törökszentmiklós, 647/3 hrsz.</w:t>
      </w:r>
    </w:p>
    <w:p w:rsidR="008529C6" w:rsidRPr="008529C6" w:rsidRDefault="008529C6" w:rsidP="008529C6">
      <w:pPr>
        <w:numPr>
          <w:ilvl w:val="0"/>
          <w:numId w:val="2"/>
        </w:numPr>
        <w:suppressAutoHyphens w:val="0"/>
        <w:overflowPunct w:val="0"/>
        <w:autoSpaceDE w:val="0"/>
        <w:autoSpaceDN w:val="0"/>
        <w:adjustRightInd w:val="0"/>
        <w:jc w:val="both"/>
      </w:pPr>
      <w:r w:rsidRPr="008529C6">
        <w:t>5200 Törökszentmiklós, 647/4 hrsz.</w:t>
      </w:r>
    </w:p>
    <w:p w:rsidR="008529C6" w:rsidRPr="008529C6" w:rsidRDefault="008529C6" w:rsidP="008529C6">
      <w:pPr>
        <w:numPr>
          <w:ilvl w:val="0"/>
          <w:numId w:val="2"/>
        </w:numPr>
        <w:suppressAutoHyphens w:val="0"/>
        <w:overflowPunct w:val="0"/>
        <w:autoSpaceDE w:val="0"/>
        <w:autoSpaceDN w:val="0"/>
        <w:adjustRightInd w:val="0"/>
        <w:jc w:val="both"/>
      </w:pPr>
      <w:r w:rsidRPr="008529C6">
        <w:t>5200 Törökszentmiklós, Dózsa György út 17.</w:t>
      </w:r>
    </w:p>
    <w:p w:rsidR="008529C6" w:rsidRPr="008529C6" w:rsidRDefault="008529C6" w:rsidP="008529C6">
      <w:pPr>
        <w:suppressAutoHyphens w:val="0"/>
        <w:overflowPunct w:val="0"/>
        <w:autoSpaceDE w:val="0"/>
        <w:autoSpaceDN w:val="0"/>
        <w:adjustRightInd w:val="0"/>
        <w:jc w:val="both"/>
      </w:pPr>
      <w:r w:rsidRPr="008529C6">
        <w:rPr>
          <w:szCs w:val="24"/>
        </w:rPr>
        <w:t>Adóigazgatási száma: 12533868-2-16</w:t>
      </w:r>
    </w:p>
    <w:p w:rsidR="008529C6" w:rsidRPr="008529C6" w:rsidRDefault="008529C6" w:rsidP="008529C6">
      <w:pPr>
        <w:suppressAutoHyphens w:val="0"/>
        <w:overflowPunct w:val="0"/>
        <w:autoSpaceDE w:val="0"/>
        <w:autoSpaceDN w:val="0"/>
        <w:adjustRightInd w:val="0"/>
        <w:jc w:val="both"/>
      </w:pPr>
      <w:r w:rsidRPr="008529C6">
        <w:rPr>
          <w:szCs w:val="24"/>
        </w:rPr>
        <w:t>Statisztikai száma</w:t>
      </w:r>
      <w:proofErr w:type="gramStart"/>
      <w:r w:rsidRPr="008529C6">
        <w:rPr>
          <w:szCs w:val="24"/>
        </w:rPr>
        <w:t>:      12533868</w:t>
      </w:r>
      <w:proofErr w:type="gramEnd"/>
      <w:r w:rsidRPr="008529C6">
        <w:rPr>
          <w:szCs w:val="24"/>
        </w:rPr>
        <w:t xml:space="preserve"> 3811 572 16</w:t>
      </w:r>
    </w:p>
    <w:p w:rsidR="008529C6" w:rsidRPr="008529C6" w:rsidRDefault="008529C6" w:rsidP="008529C6">
      <w:pPr>
        <w:suppressAutoHyphens w:val="0"/>
        <w:overflowPunct w:val="0"/>
        <w:autoSpaceDE w:val="0"/>
        <w:autoSpaceDN w:val="0"/>
        <w:adjustRightInd w:val="0"/>
        <w:jc w:val="both"/>
      </w:pPr>
      <w:r w:rsidRPr="008529C6">
        <w:rPr>
          <w:szCs w:val="24"/>
        </w:rPr>
        <w:t>Cégjegyzék száma</w:t>
      </w:r>
      <w:proofErr w:type="gramStart"/>
      <w:r w:rsidRPr="008529C6">
        <w:rPr>
          <w:szCs w:val="24"/>
        </w:rPr>
        <w:t>:     16-09-006169</w:t>
      </w:r>
      <w:proofErr w:type="gramEnd"/>
    </w:p>
    <w:p w:rsidR="008529C6" w:rsidRPr="008529C6" w:rsidRDefault="008529C6" w:rsidP="008529C6">
      <w:pPr>
        <w:suppressAutoHyphens w:val="0"/>
        <w:overflowPunct w:val="0"/>
        <w:autoSpaceDE w:val="0"/>
        <w:autoSpaceDN w:val="0"/>
        <w:adjustRightInd w:val="0"/>
        <w:jc w:val="both"/>
      </w:pPr>
      <w:r w:rsidRPr="008529C6">
        <w:rPr>
          <w:szCs w:val="24"/>
        </w:rPr>
        <w:t>Jegyzett tőke</w:t>
      </w:r>
      <w:proofErr w:type="gramStart"/>
      <w:r w:rsidRPr="008529C6">
        <w:rPr>
          <w:szCs w:val="24"/>
        </w:rPr>
        <w:t>:              61.</w:t>
      </w:r>
      <w:proofErr w:type="gramEnd"/>
      <w:r w:rsidRPr="008529C6">
        <w:rPr>
          <w:szCs w:val="24"/>
        </w:rPr>
        <w:t>100.000,- Ft</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pPr>
      <w:r w:rsidRPr="008529C6">
        <w:rPr>
          <w:szCs w:val="24"/>
        </w:rPr>
        <w:t>Tulajdonos: Törökszentmiklós Városi Önkormányzat</w:t>
      </w:r>
    </w:p>
    <w:p w:rsidR="008529C6" w:rsidRPr="008529C6" w:rsidRDefault="008529C6" w:rsidP="008529C6">
      <w:pPr>
        <w:suppressAutoHyphens w:val="0"/>
        <w:overflowPunct w:val="0"/>
        <w:autoSpaceDE w:val="0"/>
        <w:autoSpaceDN w:val="0"/>
        <w:adjustRightInd w:val="0"/>
        <w:jc w:val="both"/>
      </w:pPr>
      <w:r w:rsidRPr="008529C6">
        <w:rPr>
          <w:szCs w:val="24"/>
        </w:rPr>
        <w:t xml:space="preserve">                     Adószám: 15732767-2-16</w:t>
      </w:r>
    </w:p>
    <w:p w:rsidR="008529C6" w:rsidRPr="008529C6" w:rsidRDefault="008529C6" w:rsidP="008529C6">
      <w:pPr>
        <w:tabs>
          <w:tab w:val="left" w:pos="708"/>
          <w:tab w:val="center" w:pos="4536"/>
          <w:tab w:val="right" w:pos="9072"/>
        </w:tabs>
        <w:suppressAutoHyphens w:val="0"/>
        <w:overflowPunct w:val="0"/>
        <w:autoSpaceDE w:val="0"/>
        <w:autoSpaceDN w:val="0"/>
        <w:adjustRightInd w:val="0"/>
        <w:jc w:val="both"/>
      </w:pPr>
      <w:r w:rsidRPr="008529C6">
        <w:t xml:space="preserve">                     Törzskönyvi azonosító: 732769</w:t>
      </w:r>
    </w:p>
    <w:p w:rsidR="008529C6" w:rsidRPr="008529C6" w:rsidRDefault="008529C6" w:rsidP="008529C6">
      <w:pPr>
        <w:suppressAutoHyphens w:val="0"/>
        <w:overflowPunct w:val="0"/>
        <w:autoSpaceDE w:val="0"/>
        <w:autoSpaceDN w:val="0"/>
        <w:adjustRightInd w:val="0"/>
        <w:jc w:val="both"/>
      </w:pPr>
      <w:r w:rsidRPr="008529C6">
        <w:rPr>
          <w:szCs w:val="24"/>
        </w:rPr>
        <w:t xml:space="preserve">                     5200 Törökszentmiklós, Kossuth Lajos út 135.</w:t>
      </w:r>
    </w:p>
    <w:p w:rsidR="008529C6" w:rsidRPr="008529C6" w:rsidRDefault="008529C6" w:rsidP="008529C6">
      <w:pPr>
        <w:suppressAutoHyphens w:val="0"/>
        <w:overflowPunct w:val="0"/>
        <w:autoSpaceDE w:val="0"/>
        <w:autoSpaceDN w:val="0"/>
        <w:adjustRightInd w:val="0"/>
        <w:jc w:val="both"/>
      </w:pPr>
      <w:r w:rsidRPr="008529C6">
        <w:rPr>
          <w:szCs w:val="24"/>
        </w:rPr>
        <w:t xml:space="preserve">                     100 %-os tulajdoni hányaddal</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pPr>
      <w:r w:rsidRPr="008529C6">
        <w:rPr>
          <w:szCs w:val="24"/>
        </w:rPr>
        <w:t>Vezető tisztségviselő: Róth Ervin ügyvezető</w:t>
      </w:r>
    </w:p>
    <w:p w:rsidR="008529C6" w:rsidRPr="008529C6" w:rsidRDefault="008529C6" w:rsidP="008529C6">
      <w:pPr>
        <w:suppressAutoHyphens w:val="0"/>
        <w:overflowPunct w:val="0"/>
        <w:autoSpaceDE w:val="0"/>
        <w:autoSpaceDN w:val="0"/>
        <w:adjustRightInd w:val="0"/>
        <w:jc w:val="both"/>
      </w:pPr>
      <w:r w:rsidRPr="008529C6">
        <w:rPr>
          <w:szCs w:val="24"/>
        </w:rPr>
        <w:t xml:space="preserve">                                    (5200 Törökszentmiklós, Kossuth L. u. 243.) a céget </w:t>
      </w:r>
    </w:p>
    <w:p w:rsidR="008529C6" w:rsidRPr="008529C6" w:rsidRDefault="008529C6" w:rsidP="008529C6">
      <w:pPr>
        <w:suppressAutoHyphens w:val="0"/>
        <w:overflowPunct w:val="0"/>
        <w:autoSpaceDE w:val="0"/>
        <w:autoSpaceDN w:val="0"/>
        <w:adjustRightInd w:val="0"/>
        <w:jc w:val="both"/>
      </w:pPr>
      <w:r w:rsidRPr="008529C6">
        <w:rPr>
          <w:szCs w:val="24"/>
        </w:rPr>
        <w:t xml:space="preserve">                                    </w:t>
      </w:r>
      <w:proofErr w:type="gramStart"/>
      <w:r w:rsidRPr="008529C6">
        <w:rPr>
          <w:szCs w:val="24"/>
        </w:rPr>
        <w:t>önállóan</w:t>
      </w:r>
      <w:proofErr w:type="gramEnd"/>
      <w:r w:rsidRPr="008529C6">
        <w:rPr>
          <w:szCs w:val="24"/>
        </w:rPr>
        <w:t xml:space="preserve"> jegyzi.</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 Társaság tevékenységi körei (TEÁOR szerint):</w:t>
      </w:r>
    </w:p>
    <w:p w:rsidR="008529C6" w:rsidRPr="008529C6" w:rsidRDefault="008529C6" w:rsidP="008529C6">
      <w:pPr>
        <w:suppressAutoHyphens w:val="0"/>
        <w:overflowPunct w:val="0"/>
        <w:autoSpaceDE w:val="0"/>
        <w:autoSpaceDN w:val="0"/>
        <w:adjustRightInd w:val="0"/>
        <w:jc w:val="both"/>
      </w:pPr>
    </w:p>
    <w:tbl>
      <w:tblPr>
        <w:tblW w:w="9308" w:type="dxa"/>
        <w:tblLook w:val="01E0" w:firstRow="1" w:lastRow="1" w:firstColumn="1" w:lastColumn="1" w:noHBand="0" w:noVBand="0"/>
      </w:tblPr>
      <w:tblGrid>
        <w:gridCol w:w="9308"/>
      </w:tblGrid>
      <w:tr w:rsidR="008529C6" w:rsidRPr="008529C6" w:rsidTr="008529C6">
        <w:tc>
          <w:tcPr>
            <w:tcW w:w="9308" w:type="dxa"/>
          </w:tcPr>
          <w:p w:rsidR="008529C6" w:rsidRPr="008529C6" w:rsidRDefault="008529C6" w:rsidP="008529C6">
            <w:pPr>
              <w:suppressAutoHyphens w:val="0"/>
              <w:rPr>
                <w:b/>
                <w:bCs/>
                <w:szCs w:val="24"/>
              </w:rPr>
            </w:pPr>
            <w:r w:rsidRPr="008529C6">
              <w:rPr>
                <w:b/>
                <w:bCs/>
                <w:szCs w:val="24"/>
              </w:rPr>
              <w:t>38.11’08 Nem veszélyes hulladék gyűjtése (főtevékenység)</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38.12’08 Veszélyes hulladék gyűjtése</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38.21’08 Nem veszélyes hulladék kezelése, ártalmatlanítása</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38.22’08 Veszélyes hulladék kezelése, ártalmatlanítása</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38.32’08 Hulladék újrahasznosítása</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 xml:space="preserve">81.30’08 Zöldterület-kezelés  </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43.11’08 Bontás</w:t>
            </w:r>
          </w:p>
          <w:p w:rsidR="008529C6" w:rsidRPr="008529C6" w:rsidRDefault="008529C6" w:rsidP="008529C6">
            <w:pPr>
              <w:suppressAutoHyphens w:val="0"/>
              <w:rPr>
                <w:szCs w:val="24"/>
              </w:rPr>
            </w:pPr>
            <w:r w:rsidRPr="008529C6">
              <w:rPr>
                <w:szCs w:val="24"/>
              </w:rPr>
              <w:t>43.12’08 Építési terület előkészítése</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43.91’08 Tetőfedés, tetőszerkezet építés</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 xml:space="preserve">42.99’08 Egyéb </w:t>
            </w:r>
            <w:proofErr w:type="spellStart"/>
            <w:r w:rsidRPr="008529C6">
              <w:rPr>
                <w:szCs w:val="24"/>
              </w:rPr>
              <w:t>m.n.s</w:t>
            </w:r>
            <w:proofErr w:type="spellEnd"/>
            <w:r w:rsidRPr="008529C6">
              <w:rPr>
                <w:szCs w:val="24"/>
              </w:rPr>
              <w:t>. építése</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 xml:space="preserve">43.99’08 Egyéb speciális szaképítés </w:t>
            </w:r>
            <w:proofErr w:type="spellStart"/>
            <w:r w:rsidRPr="008529C6">
              <w:rPr>
                <w:szCs w:val="24"/>
              </w:rPr>
              <w:t>m.n.s</w:t>
            </w:r>
            <w:proofErr w:type="spellEnd"/>
            <w:r w:rsidRPr="008529C6">
              <w:rPr>
                <w:szCs w:val="24"/>
              </w:rPr>
              <w:t>.</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42.21’08 Folyadék szállítására szolgáló közmű építése</w:t>
            </w:r>
          </w:p>
        </w:tc>
      </w:tr>
      <w:tr w:rsidR="008529C6" w:rsidRPr="008529C6" w:rsidTr="008529C6">
        <w:trPr>
          <w:trHeight w:val="1221"/>
        </w:trPr>
        <w:tc>
          <w:tcPr>
            <w:tcW w:w="9308" w:type="dxa"/>
          </w:tcPr>
          <w:p w:rsidR="008529C6" w:rsidRPr="008529C6" w:rsidRDefault="008529C6" w:rsidP="008529C6">
            <w:pPr>
              <w:suppressAutoHyphens w:val="0"/>
              <w:rPr>
                <w:szCs w:val="24"/>
              </w:rPr>
            </w:pPr>
            <w:r w:rsidRPr="008529C6">
              <w:rPr>
                <w:szCs w:val="24"/>
              </w:rPr>
              <w:t xml:space="preserve">43.21’08 Villanyszerelés </w:t>
            </w:r>
          </w:p>
        </w:tc>
      </w:tr>
      <w:tr w:rsidR="008529C6" w:rsidRPr="008529C6" w:rsidTr="008529C6">
        <w:trPr>
          <w:trHeight w:val="1792"/>
        </w:trPr>
        <w:tc>
          <w:tcPr>
            <w:tcW w:w="9308" w:type="dxa"/>
          </w:tcPr>
          <w:p w:rsidR="008529C6" w:rsidRPr="008529C6" w:rsidRDefault="008529C6" w:rsidP="008529C6">
            <w:pPr>
              <w:suppressAutoHyphens w:val="0"/>
              <w:rPr>
                <w:szCs w:val="24"/>
              </w:rPr>
            </w:pPr>
            <w:r w:rsidRPr="008529C6">
              <w:rPr>
                <w:szCs w:val="24"/>
              </w:rPr>
              <w:lastRenderedPageBreak/>
              <w:t xml:space="preserve">43.39’08 Egyéb befejező építés </w:t>
            </w:r>
            <w:proofErr w:type="spellStart"/>
            <w:r w:rsidRPr="008529C6">
              <w:rPr>
                <w:szCs w:val="24"/>
              </w:rPr>
              <w:t>m.n.s</w:t>
            </w:r>
            <w:proofErr w:type="spellEnd"/>
            <w:r w:rsidRPr="008529C6">
              <w:rPr>
                <w:szCs w:val="24"/>
              </w:rPr>
              <w:t>.</w:t>
            </w:r>
          </w:p>
          <w:p w:rsidR="008529C6" w:rsidRPr="008529C6" w:rsidRDefault="008529C6" w:rsidP="008529C6">
            <w:pPr>
              <w:suppressAutoHyphens w:val="0"/>
              <w:rPr>
                <w:szCs w:val="24"/>
              </w:rPr>
            </w:pPr>
            <w:r w:rsidRPr="008529C6">
              <w:rPr>
                <w:szCs w:val="24"/>
              </w:rPr>
              <w:t xml:space="preserve">45.20’08 Gépjárműjavítás, </w:t>
            </w:r>
            <w:proofErr w:type="spellStart"/>
            <w:r w:rsidRPr="008529C6">
              <w:rPr>
                <w:szCs w:val="24"/>
              </w:rPr>
              <w:t>-karbantartás</w:t>
            </w:r>
            <w:proofErr w:type="spellEnd"/>
          </w:p>
          <w:p w:rsidR="008529C6" w:rsidRPr="008529C6" w:rsidRDefault="008529C6" w:rsidP="008529C6">
            <w:pPr>
              <w:suppressAutoHyphens w:val="0"/>
              <w:rPr>
                <w:szCs w:val="24"/>
              </w:rPr>
            </w:pPr>
            <w:r w:rsidRPr="008529C6">
              <w:rPr>
                <w:szCs w:val="24"/>
              </w:rPr>
              <w:t>46.77’08 Hulladék-nagykereskedelem</w:t>
            </w:r>
          </w:p>
          <w:p w:rsidR="008529C6" w:rsidRPr="008529C6" w:rsidRDefault="008529C6" w:rsidP="008529C6">
            <w:pPr>
              <w:suppressAutoHyphens w:val="0"/>
              <w:rPr>
                <w:szCs w:val="24"/>
              </w:rPr>
            </w:pPr>
            <w:r w:rsidRPr="008529C6">
              <w:rPr>
                <w:szCs w:val="24"/>
              </w:rPr>
              <w:t>47.11’08 Élelmiszer jellegű bolti vegyes kiskereskedelem</w:t>
            </w:r>
          </w:p>
          <w:p w:rsidR="008529C6" w:rsidRPr="008529C6" w:rsidRDefault="008529C6" w:rsidP="008529C6">
            <w:pPr>
              <w:suppressAutoHyphens w:val="0"/>
              <w:rPr>
                <w:szCs w:val="24"/>
              </w:rPr>
            </w:pPr>
            <w:r w:rsidRPr="008529C6">
              <w:rPr>
                <w:szCs w:val="24"/>
              </w:rPr>
              <w:t>47.62’08 Újság-, papíráru-kiskereskedelem</w:t>
            </w:r>
          </w:p>
          <w:p w:rsidR="008529C6" w:rsidRPr="008529C6" w:rsidRDefault="008529C6" w:rsidP="008529C6">
            <w:pPr>
              <w:suppressAutoHyphens w:val="0"/>
              <w:rPr>
                <w:szCs w:val="24"/>
              </w:rPr>
            </w:pPr>
            <w:r w:rsidRPr="008529C6">
              <w:rPr>
                <w:szCs w:val="24"/>
              </w:rPr>
              <w:t xml:space="preserve">47.78’08 Egyéb </w:t>
            </w:r>
            <w:proofErr w:type="spellStart"/>
            <w:r w:rsidRPr="008529C6">
              <w:rPr>
                <w:szCs w:val="24"/>
              </w:rPr>
              <w:t>m.n.s</w:t>
            </w:r>
            <w:proofErr w:type="spellEnd"/>
            <w:r w:rsidRPr="008529C6">
              <w:rPr>
                <w:szCs w:val="24"/>
              </w:rPr>
              <w:t>. új áru kiskereskedelme</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47.99’08 Egyéb nem bolti, piaci kiskereskedelem</w:t>
            </w:r>
          </w:p>
          <w:p w:rsidR="008529C6" w:rsidRPr="008529C6" w:rsidRDefault="008529C6" w:rsidP="008529C6">
            <w:pPr>
              <w:suppressAutoHyphens w:val="0"/>
              <w:rPr>
                <w:szCs w:val="24"/>
              </w:rPr>
            </w:pPr>
            <w:r w:rsidRPr="008529C6">
              <w:rPr>
                <w:szCs w:val="24"/>
              </w:rPr>
              <w:t>53.10’08 Postai tevékenység (egyetemes kötelezettséggel)</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 xml:space="preserve">55.20’08 Üdülési, egyéb átmeneti szálláshely-szolgáltatás </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56.30’08 Italszolgáltatás</w:t>
            </w:r>
          </w:p>
          <w:p w:rsidR="008529C6" w:rsidRPr="008529C6" w:rsidRDefault="008529C6" w:rsidP="008529C6">
            <w:pPr>
              <w:suppressAutoHyphens w:val="0"/>
              <w:rPr>
                <w:szCs w:val="24"/>
              </w:rPr>
            </w:pPr>
            <w:r w:rsidRPr="008529C6">
              <w:rPr>
                <w:szCs w:val="24"/>
              </w:rPr>
              <w:t>61.90’08 Egyéb távközlés</w:t>
            </w:r>
          </w:p>
          <w:p w:rsidR="008529C6" w:rsidRPr="008529C6" w:rsidRDefault="008529C6" w:rsidP="008529C6">
            <w:pPr>
              <w:suppressAutoHyphens w:val="0"/>
              <w:rPr>
                <w:szCs w:val="24"/>
              </w:rPr>
            </w:pPr>
            <w:r w:rsidRPr="008529C6">
              <w:rPr>
                <w:szCs w:val="24"/>
              </w:rPr>
              <w:t>52.21’08 Szárazföldi szállítást kiegészítő szolgáltatás</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68.20’08 Saját tulajdonú, bérelt ingatlan bérbeadása, üzemeltetése</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77.32’08 Építőipari gép kölcsönzése</w:t>
            </w:r>
          </w:p>
          <w:p w:rsidR="008529C6" w:rsidRPr="008529C6" w:rsidRDefault="008529C6" w:rsidP="008529C6">
            <w:pPr>
              <w:suppressAutoHyphens w:val="0"/>
              <w:rPr>
                <w:szCs w:val="24"/>
              </w:rPr>
            </w:pPr>
            <w:r w:rsidRPr="008529C6">
              <w:rPr>
                <w:szCs w:val="24"/>
              </w:rPr>
              <w:t>77.39’08 Egyéb gép, tárgyi eszköz kölcsönzése</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71.11’08 Építészmérnöki tevékenység</w:t>
            </w:r>
          </w:p>
          <w:p w:rsidR="008529C6" w:rsidRPr="008529C6" w:rsidRDefault="008529C6" w:rsidP="008529C6">
            <w:pPr>
              <w:suppressAutoHyphens w:val="0"/>
              <w:rPr>
                <w:szCs w:val="24"/>
              </w:rPr>
            </w:pPr>
            <w:r w:rsidRPr="008529C6">
              <w:rPr>
                <w:szCs w:val="24"/>
              </w:rPr>
              <w:t>71.12’08 Mérnöki tevékenység, műszaki tanácsadás</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73.12’08 Médiareklám</w:t>
            </w:r>
          </w:p>
          <w:p w:rsidR="008529C6" w:rsidRPr="008529C6" w:rsidRDefault="008529C6" w:rsidP="008529C6">
            <w:pPr>
              <w:suppressAutoHyphens w:val="0"/>
              <w:rPr>
                <w:szCs w:val="24"/>
              </w:rPr>
            </w:pPr>
            <w:r w:rsidRPr="008529C6">
              <w:rPr>
                <w:szCs w:val="24"/>
              </w:rPr>
              <w:t>79.90’08 Egyéb foglalás</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 xml:space="preserve">82.99’08 </w:t>
            </w:r>
            <w:proofErr w:type="spellStart"/>
            <w:r w:rsidRPr="008529C6">
              <w:rPr>
                <w:szCs w:val="24"/>
              </w:rPr>
              <w:t>M.n.s</w:t>
            </w:r>
            <w:proofErr w:type="spellEnd"/>
            <w:r w:rsidRPr="008529C6">
              <w:rPr>
                <w:szCs w:val="24"/>
              </w:rPr>
              <w:t xml:space="preserve"> egyéb kiegészítő üzleti szolgáltatás</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39.00’08 Szennyeződésmentesítés, egyéb hulladékkezelés</w:t>
            </w:r>
          </w:p>
          <w:p w:rsidR="008529C6" w:rsidRPr="008529C6" w:rsidRDefault="008529C6" w:rsidP="008529C6">
            <w:pPr>
              <w:suppressAutoHyphens w:val="0"/>
              <w:rPr>
                <w:szCs w:val="24"/>
              </w:rPr>
            </w:pPr>
            <w:r w:rsidRPr="008529C6">
              <w:rPr>
                <w:szCs w:val="24"/>
              </w:rPr>
              <w:t>33.12’08 Ipari gép, berendezés javítása</w:t>
            </w:r>
          </w:p>
          <w:p w:rsidR="008529C6" w:rsidRPr="008529C6" w:rsidRDefault="008529C6" w:rsidP="008529C6">
            <w:pPr>
              <w:suppressAutoHyphens w:val="0"/>
              <w:rPr>
                <w:szCs w:val="24"/>
              </w:rPr>
            </w:pPr>
            <w:r w:rsidRPr="008529C6">
              <w:rPr>
                <w:szCs w:val="24"/>
              </w:rPr>
              <w:t>81.29’08 Egyéb takarítás</w:t>
            </w:r>
          </w:p>
          <w:p w:rsidR="008529C6" w:rsidRPr="008529C6" w:rsidRDefault="008529C6" w:rsidP="008529C6">
            <w:pPr>
              <w:suppressAutoHyphens w:val="0"/>
              <w:rPr>
                <w:szCs w:val="24"/>
              </w:rPr>
            </w:pPr>
            <w:r w:rsidRPr="008529C6">
              <w:rPr>
                <w:szCs w:val="24"/>
              </w:rPr>
              <w:t>86.90’08 Egyéb humán-egészségügyi ellátás</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 xml:space="preserve">93.29’08 </w:t>
            </w:r>
            <w:proofErr w:type="spellStart"/>
            <w:r w:rsidRPr="008529C6">
              <w:rPr>
                <w:szCs w:val="24"/>
              </w:rPr>
              <w:t>M.n.s</w:t>
            </w:r>
            <w:proofErr w:type="spellEnd"/>
            <w:r w:rsidRPr="008529C6">
              <w:rPr>
                <w:szCs w:val="24"/>
              </w:rPr>
              <w:t>. egyéb szórakoztatás, szabadidős tevékenység</w:t>
            </w:r>
          </w:p>
        </w:tc>
      </w:tr>
      <w:tr w:rsidR="008529C6" w:rsidRPr="008529C6" w:rsidTr="008529C6">
        <w:tc>
          <w:tcPr>
            <w:tcW w:w="9308" w:type="dxa"/>
          </w:tcPr>
          <w:p w:rsidR="008529C6" w:rsidRPr="008529C6" w:rsidRDefault="008529C6" w:rsidP="008529C6">
            <w:pPr>
              <w:suppressAutoHyphens w:val="0"/>
              <w:rPr>
                <w:szCs w:val="24"/>
              </w:rPr>
            </w:pPr>
            <w:r w:rsidRPr="008529C6">
              <w:rPr>
                <w:szCs w:val="24"/>
              </w:rPr>
              <w:t>93.13’08 Testedzési szolgáltatás</w:t>
            </w:r>
          </w:p>
          <w:p w:rsidR="008529C6" w:rsidRPr="008529C6" w:rsidRDefault="008529C6" w:rsidP="008529C6">
            <w:pPr>
              <w:suppressAutoHyphens w:val="0"/>
              <w:rPr>
                <w:szCs w:val="24"/>
              </w:rPr>
            </w:pPr>
            <w:r w:rsidRPr="008529C6">
              <w:rPr>
                <w:szCs w:val="24"/>
              </w:rPr>
              <w:t>96.04’08 Fizikai közérzetet javító szolgáltatás</w:t>
            </w:r>
          </w:p>
          <w:p w:rsidR="008529C6" w:rsidRPr="008529C6" w:rsidRDefault="008529C6" w:rsidP="008529C6">
            <w:pPr>
              <w:suppressAutoHyphens w:val="0"/>
              <w:rPr>
                <w:szCs w:val="24"/>
              </w:rPr>
            </w:pPr>
            <w:r w:rsidRPr="008529C6">
              <w:rPr>
                <w:szCs w:val="24"/>
              </w:rPr>
              <w:t>92.00’08 Szerencsejáték, fogadás</w:t>
            </w:r>
          </w:p>
          <w:p w:rsidR="008529C6" w:rsidRPr="008529C6" w:rsidRDefault="008529C6" w:rsidP="008529C6">
            <w:pPr>
              <w:suppressAutoHyphens w:val="0"/>
              <w:rPr>
                <w:szCs w:val="24"/>
              </w:rPr>
            </w:pPr>
          </w:p>
          <w:p w:rsidR="008529C6" w:rsidRPr="008529C6" w:rsidRDefault="008529C6" w:rsidP="008529C6">
            <w:pPr>
              <w:suppressAutoHyphens w:val="0"/>
              <w:rPr>
                <w:szCs w:val="24"/>
              </w:rPr>
            </w:pPr>
          </w:p>
        </w:tc>
      </w:tr>
    </w:tbl>
    <w:p w:rsidR="008529C6" w:rsidRPr="008529C6" w:rsidRDefault="008529C6" w:rsidP="008529C6">
      <w:pPr>
        <w:suppressAutoHyphens w:val="0"/>
        <w:overflowPunct w:val="0"/>
        <w:autoSpaceDE w:val="0"/>
        <w:autoSpaceDN w:val="0"/>
        <w:adjustRightInd w:val="0"/>
        <w:jc w:val="both"/>
        <w:rPr>
          <w:b/>
          <w:bCs/>
        </w:rPr>
      </w:pPr>
      <w:r w:rsidRPr="008529C6">
        <w:rPr>
          <w:b/>
          <w:bCs/>
          <w:szCs w:val="24"/>
        </w:rPr>
        <w:t>A Társaság a mérleg tagolására a törvény 1. sz. melléklete ”A” változatát alkalmazza.</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keepNext/>
        <w:suppressAutoHyphens w:val="0"/>
        <w:overflowPunct w:val="0"/>
        <w:autoSpaceDE w:val="0"/>
        <w:autoSpaceDN w:val="0"/>
        <w:adjustRightInd w:val="0"/>
        <w:jc w:val="both"/>
        <w:outlineLvl w:val="1"/>
        <w:rPr>
          <w:b/>
          <w:bCs/>
        </w:rPr>
      </w:pPr>
      <w:r w:rsidRPr="008529C6">
        <w:rPr>
          <w:b/>
          <w:bCs/>
          <w:szCs w:val="24"/>
        </w:rPr>
        <w:t>A Társaság az eredmény-kimutatás tagolására a törvény 2. sz. melléklet (összköltség eljárással) sémát alkalmazza.</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b/>
          <w:szCs w:val="24"/>
        </w:rPr>
      </w:pPr>
      <w:r w:rsidRPr="008529C6">
        <w:rPr>
          <w:szCs w:val="24"/>
        </w:rPr>
        <w:t xml:space="preserve">A valós vagyoni érték megállapítása érdekében végzendő értékelési eljárások munkaigényét figyelembe véve a mérlegkészítés napja </w:t>
      </w:r>
      <w:r w:rsidRPr="008529C6">
        <w:rPr>
          <w:b/>
          <w:szCs w:val="24"/>
        </w:rPr>
        <w:t>a tárgyévet követő év február hónapjának utolsó napja.</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rPr>
          <w:b/>
        </w:rPr>
      </w:pPr>
      <w:r w:rsidRPr="008529C6">
        <w:rPr>
          <w:szCs w:val="24"/>
        </w:rPr>
        <w:t>A beszámolóban és az azt alátámasztó könyvvezetés során a gazdasági eseményeket, ügyleteket a tényleges gazdasági tartalmuknak megfelelően - a törvény alapelveihez, vonatkozó előírásaihoz igazodóan - kell bemutatni, illetve annak megfelelően kell elszámolni.</w:t>
      </w:r>
    </w:p>
    <w:p w:rsidR="008529C6" w:rsidRPr="008529C6" w:rsidRDefault="008529C6" w:rsidP="008529C6">
      <w:pPr>
        <w:suppressAutoHyphens w:val="0"/>
        <w:overflowPunct w:val="0"/>
        <w:autoSpaceDE w:val="0"/>
        <w:autoSpaceDN w:val="0"/>
        <w:adjustRightInd w:val="0"/>
        <w:jc w:val="both"/>
        <w:rPr>
          <w:b/>
        </w:rPr>
      </w:pPr>
    </w:p>
    <w:p w:rsidR="008529C6" w:rsidRPr="008529C6" w:rsidRDefault="008529C6" w:rsidP="008529C6">
      <w:pPr>
        <w:suppressAutoHyphens w:val="0"/>
        <w:overflowPunct w:val="0"/>
        <w:autoSpaceDE w:val="0"/>
        <w:autoSpaceDN w:val="0"/>
        <w:adjustRightInd w:val="0"/>
        <w:jc w:val="both"/>
      </w:pPr>
      <w:r w:rsidRPr="008529C6">
        <w:rPr>
          <w:szCs w:val="24"/>
        </w:rPr>
        <w:t>Lényeges minden olyan információ, amelynek elhagyása vagy téves bemutatása – az ésszerűség határain belül – befolyásolja a beszámoló adatait felhasználók döntéseit.</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pPr>
      <w:r w:rsidRPr="008529C6">
        <w:rPr>
          <w:szCs w:val="24"/>
        </w:rPr>
        <w:t>Lényegesnek minősülnek az alábbiak:</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rPr>
          <w:szCs w:val="24"/>
        </w:rPr>
      </w:pPr>
      <w:r w:rsidRPr="008529C6">
        <w:rPr>
          <w:b/>
          <w:i/>
          <w:szCs w:val="24"/>
        </w:rPr>
        <w:t>Jelentős összegű a hiba:</w:t>
      </w:r>
      <w:r w:rsidRPr="008529C6">
        <w:rPr>
          <w:i/>
          <w:szCs w:val="24"/>
        </w:rPr>
        <w:t xml:space="preserve"> </w:t>
      </w:r>
      <w:r w:rsidRPr="008529C6">
        <w:rPr>
          <w:szCs w:val="24"/>
        </w:rPr>
        <w:t>ha a hiba feltárásának évében, a különböző ellenőrzések során, egy adott üzleti évet érintően (évenként külön-külön) feltárt hibák és hibahatások – eredményt, saját tőkét növelő-csökkentő – értékének együttes (előjeltől független, abszolút) összege meghaladja az ellenőrzött üzleti év mérleg-főösszegének 2 százalékát.  (Nem jelentős összegű hiba:</w:t>
      </w:r>
      <w:r w:rsidRPr="008529C6">
        <w:rPr>
          <w:i/>
          <w:szCs w:val="24"/>
        </w:rPr>
        <w:t xml:space="preserve"> </w:t>
      </w:r>
      <w:r w:rsidRPr="008529C6">
        <w:rPr>
          <w:szCs w:val="24"/>
        </w:rPr>
        <w:t>ha a hiba feltárásának évében, a különböző ellenőrzések során, egy adott üzleti évet érintően (évenként külön-külön) feltárt hibák és hibahatások - eredményt, saját tőkét növelő-</w:t>
      </w:r>
      <w:r w:rsidRPr="008529C6">
        <w:rPr>
          <w:szCs w:val="24"/>
        </w:rPr>
        <w:lastRenderedPageBreak/>
        <w:t>csökkentő - értékének együttes (előjeltől független, abszolút) összege nem haladja meg a jelentős összegű hiba értékhatárát.)</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pPr>
      <w:r w:rsidRPr="008529C6">
        <w:rPr>
          <w:b/>
          <w:i/>
          <w:szCs w:val="24"/>
        </w:rPr>
        <w:t xml:space="preserve">Kivételes nagyságú, vagy előfordulású tételek: </w:t>
      </w:r>
      <w:r w:rsidRPr="008529C6">
        <w:rPr>
          <w:szCs w:val="24"/>
        </w:rPr>
        <w:t xml:space="preserve">kivételes nagyságú és előfordulású tételeknek tekintjük a </w:t>
      </w:r>
      <w:proofErr w:type="gramStart"/>
      <w:r w:rsidRPr="008529C6">
        <w:rPr>
          <w:szCs w:val="24"/>
        </w:rPr>
        <w:t>Társaság szokásos</w:t>
      </w:r>
      <w:proofErr w:type="gramEnd"/>
      <w:r w:rsidRPr="008529C6">
        <w:rPr>
          <w:szCs w:val="24"/>
        </w:rPr>
        <w:t xml:space="preserve"> gazdálkodási tevékenységén kívül eső 10 000 E Ft-ot meghaladó bevételeket, költségeket, ráfordításokat.</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pPr>
      <w:r w:rsidRPr="008529C6">
        <w:t>A Társaság a piaci értéken történő értékelés lehetőségével nem él, illetve a valós értéken történő értékelést nem alkalmazza.</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autoSpaceDE w:val="0"/>
        <w:autoSpaceDN w:val="0"/>
        <w:adjustRightInd w:val="0"/>
        <w:jc w:val="both"/>
        <w:rPr>
          <w:b/>
          <w:i/>
          <w:szCs w:val="24"/>
        </w:rPr>
      </w:pPr>
      <w:r w:rsidRPr="008529C6">
        <w:rPr>
          <w:b/>
          <w:i/>
          <w:szCs w:val="24"/>
        </w:rPr>
        <w:t>Amortizációs politika</w:t>
      </w:r>
    </w:p>
    <w:p w:rsidR="008529C6" w:rsidRPr="008529C6" w:rsidRDefault="008529C6" w:rsidP="008529C6">
      <w:pPr>
        <w:suppressAutoHyphens w:val="0"/>
        <w:autoSpaceDE w:val="0"/>
        <w:autoSpaceDN w:val="0"/>
        <w:adjustRightInd w:val="0"/>
        <w:jc w:val="both"/>
        <w:rPr>
          <w:szCs w:val="24"/>
        </w:rPr>
      </w:pPr>
    </w:p>
    <w:p w:rsidR="008529C6" w:rsidRPr="008529C6" w:rsidRDefault="008529C6" w:rsidP="008529C6">
      <w:pPr>
        <w:suppressAutoHyphens w:val="0"/>
        <w:autoSpaceDE w:val="0"/>
        <w:autoSpaceDN w:val="0"/>
        <w:adjustRightInd w:val="0"/>
        <w:jc w:val="both"/>
        <w:rPr>
          <w:szCs w:val="24"/>
        </w:rPr>
      </w:pPr>
      <w:r w:rsidRPr="008529C6">
        <w:rPr>
          <w:szCs w:val="24"/>
        </w:rPr>
        <w:t>Az immateriális javaknak, a tárgyi eszközöknek a hasznos élettartam végén várható maradványértékkel csökkentett bekerülési (beszerzési, illetve előállítási) értékét azokra az évekre osztjuk fel, amelyekben ezeket az eszközöket előreláthatóan használni fogjuk, figyelemmel a Számviteli törvény speciális előírásaira.</w:t>
      </w:r>
    </w:p>
    <w:p w:rsidR="008529C6" w:rsidRPr="008529C6" w:rsidRDefault="008529C6" w:rsidP="008529C6">
      <w:pPr>
        <w:suppressAutoHyphens w:val="0"/>
        <w:autoSpaceDE w:val="0"/>
        <w:autoSpaceDN w:val="0"/>
        <w:adjustRightInd w:val="0"/>
        <w:jc w:val="both"/>
        <w:rPr>
          <w:szCs w:val="24"/>
        </w:rPr>
      </w:pPr>
    </w:p>
    <w:p w:rsidR="008529C6" w:rsidRPr="008529C6" w:rsidRDefault="008529C6" w:rsidP="008529C6">
      <w:pPr>
        <w:suppressAutoHyphens w:val="0"/>
        <w:autoSpaceDE w:val="0"/>
        <w:autoSpaceDN w:val="0"/>
        <w:adjustRightInd w:val="0"/>
        <w:jc w:val="both"/>
        <w:rPr>
          <w:szCs w:val="24"/>
        </w:rPr>
      </w:pPr>
      <w:r w:rsidRPr="008529C6">
        <w:rPr>
          <w:szCs w:val="24"/>
        </w:rPr>
        <w:t xml:space="preserve">Az évenként elszámolandó értékcsökkenést az egyedi eszköz várható használata, ebből adódó élettartama, fizikai elhasználódása és erkölcsi avulása, az adott vállalkozási tevékenységre jellemző körülmények figyelembevételével tervezzük meg, és azokat a nyilvántartásokon történő rögzítést követően a rendeltetésszerű használatbavételtől, az üzembe helyezéstől alkalmazzuk. </w:t>
      </w:r>
    </w:p>
    <w:p w:rsidR="008529C6" w:rsidRPr="008529C6" w:rsidRDefault="008529C6" w:rsidP="008529C6">
      <w:pPr>
        <w:suppressAutoHyphens w:val="0"/>
        <w:autoSpaceDE w:val="0"/>
        <w:autoSpaceDN w:val="0"/>
        <w:adjustRightInd w:val="0"/>
        <w:jc w:val="both"/>
        <w:rPr>
          <w:szCs w:val="24"/>
        </w:rPr>
      </w:pPr>
    </w:p>
    <w:p w:rsidR="008529C6" w:rsidRPr="008529C6" w:rsidRDefault="008529C6" w:rsidP="008529C6">
      <w:pPr>
        <w:suppressAutoHyphens w:val="0"/>
        <w:autoSpaceDE w:val="0"/>
        <w:autoSpaceDN w:val="0"/>
        <w:adjustRightInd w:val="0"/>
        <w:jc w:val="both"/>
        <w:rPr>
          <w:szCs w:val="24"/>
        </w:rPr>
      </w:pPr>
      <w:r w:rsidRPr="008529C6">
        <w:rPr>
          <w:szCs w:val="24"/>
        </w:rPr>
        <w:t>A kis értékű 100.000 Ft egyedi beszerzési értéket meg nem haladó szellemi termékek, vagyoni értékű jogok, tárgyi eszközök értékét használatba vételkor értékcsökkenési leírásként egy összegben elszámoljuk.</w:t>
      </w:r>
    </w:p>
    <w:p w:rsidR="008529C6" w:rsidRPr="008529C6" w:rsidRDefault="008529C6" w:rsidP="008529C6">
      <w:pPr>
        <w:suppressAutoHyphens w:val="0"/>
        <w:autoSpaceDE w:val="0"/>
        <w:autoSpaceDN w:val="0"/>
        <w:adjustRightInd w:val="0"/>
        <w:jc w:val="both"/>
        <w:rPr>
          <w:szCs w:val="24"/>
        </w:rPr>
      </w:pPr>
    </w:p>
    <w:p w:rsidR="008529C6" w:rsidRPr="008529C6" w:rsidRDefault="008529C6" w:rsidP="008529C6">
      <w:pPr>
        <w:suppressAutoHyphens w:val="0"/>
        <w:autoSpaceDE w:val="0"/>
        <w:autoSpaceDN w:val="0"/>
        <w:adjustRightInd w:val="0"/>
        <w:jc w:val="both"/>
        <w:rPr>
          <w:szCs w:val="24"/>
        </w:rPr>
      </w:pPr>
      <w:r w:rsidRPr="008529C6">
        <w:rPr>
          <w:szCs w:val="24"/>
        </w:rPr>
        <w:t>Az értékcsökkenés elszámolása bruttó alapon lineárisan történik. Az értékcsökkenést az üzembe helyezés napjától, a könyvekből történő kivezetésig, illetve az eszköz értékének „0”</w:t>
      </w:r>
      <w:proofErr w:type="spellStart"/>
      <w:r w:rsidRPr="008529C6">
        <w:rPr>
          <w:szCs w:val="24"/>
        </w:rPr>
        <w:t>-ra</w:t>
      </w:r>
      <w:proofErr w:type="spellEnd"/>
      <w:r w:rsidRPr="008529C6">
        <w:rPr>
          <w:szCs w:val="24"/>
        </w:rPr>
        <w:t>, illetve maradványértékre történő leírásáig számoljuk el. Az értékcsökkenést havonta számoljuk el.</w:t>
      </w:r>
    </w:p>
    <w:p w:rsidR="008529C6" w:rsidRPr="008529C6" w:rsidRDefault="008529C6" w:rsidP="008529C6">
      <w:pPr>
        <w:suppressAutoHyphens w:val="0"/>
        <w:autoSpaceDE w:val="0"/>
        <w:autoSpaceDN w:val="0"/>
        <w:adjustRightInd w:val="0"/>
        <w:jc w:val="both"/>
        <w:rPr>
          <w:szCs w:val="24"/>
        </w:rPr>
      </w:pPr>
    </w:p>
    <w:p w:rsidR="008529C6" w:rsidRPr="008529C6" w:rsidRDefault="008529C6" w:rsidP="008529C6">
      <w:pPr>
        <w:suppressAutoHyphens w:val="0"/>
        <w:autoSpaceDE w:val="0"/>
        <w:autoSpaceDN w:val="0"/>
        <w:adjustRightInd w:val="0"/>
        <w:jc w:val="both"/>
        <w:rPr>
          <w:szCs w:val="24"/>
        </w:rPr>
      </w:pPr>
      <w:r w:rsidRPr="008529C6">
        <w:rPr>
          <w:szCs w:val="24"/>
        </w:rPr>
        <w:t>Az adó törvény szerinti értékcsökkenés meghatározásakor a társasági és osztalékadóról szóló 1996. LXXXI. tv. I. és II. sz. mellékletében meghatározott értékcsökkenési szabályok közül a leggyorsabb leírással járó módot választja Társaságunk.</w:t>
      </w:r>
    </w:p>
    <w:p w:rsidR="008529C6" w:rsidRPr="008529C6" w:rsidRDefault="008529C6" w:rsidP="008529C6">
      <w:pPr>
        <w:suppressAutoHyphens w:val="0"/>
        <w:autoSpaceDE w:val="0"/>
        <w:autoSpaceDN w:val="0"/>
        <w:adjustRightInd w:val="0"/>
        <w:jc w:val="both"/>
        <w:rPr>
          <w:szCs w:val="24"/>
        </w:rPr>
      </w:pPr>
    </w:p>
    <w:p w:rsidR="008529C6" w:rsidRPr="008529C6" w:rsidRDefault="008529C6" w:rsidP="008529C6">
      <w:pPr>
        <w:suppressAutoHyphens w:val="0"/>
        <w:autoSpaceDE w:val="0"/>
        <w:autoSpaceDN w:val="0"/>
        <w:adjustRightInd w:val="0"/>
        <w:jc w:val="both"/>
        <w:rPr>
          <w:b/>
          <w:i/>
          <w:szCs w:val="24"/>
        </w:rPr>
      </w:pPr>
      <w:r w:rsidRPr="008529C6">
        <w:rPr>
          <w:b/>
          <w:i/>
          <w:szCs w:val="24"/>
        </w:rPr>
        <w:t>Halasztott bevételek elszámolása</w:t>
      </w:r>
    </w:p>
    <w:p w:rsidR="008529C6" w:rsidRPr="008529C6" w:rsidRDefault="008529C6" w:rsidP="008529C6">
      <w:pPr>
        <w:suppressAutoHyphens w:val="0"/>
        <w:autoSpaceDE w:val="0"/>
        <w:autoSpaceDN w:val="0"/>
        <w:adjustRightInd w:val="0"/>
        <w:jc w:val="both"/>
        <w:rPr>
          <w:b/>
          <w:i/>
          <w:szCs w:val="24"/>
        </w:rPr>
      </w:pPr>
    </w:p>
    <w:p w:rsidR="008529C6" w:rsidRPr="008529C6" w:rsidRDefault="008529C6" w:rsidP="008529C6">
      <w:pPr>
        <w:suppressAutoHyphens w:val="0"/>
        <w:autoSpaceDE w:val="0"/>
        <w:autoSpaceDN w:val="0"/>
        <w:adjustRightInd w:val="0"/>
        <w:jc w:val="both"/>
        <w:rPr>
          <w:szCs w:val="24"/>
        </w:rPr>
      </w:pPr>
      <w:r w:rsidRPr="008529C6">
        <w:rPr>
          <w:szCs w:val="24"/>
        </w:rPr>
        <w:t>A Társaság a befektetett eszközökhöz kapcsolódó passzív időbeli elhatárolásként elszámolt halasztott bevételeket, az egyéb bevételekkel szemben számolja el.</w:t>
      </w:r>
    </w:p>
    <w:p w:rsidR="008529C6" w:rsidRPr="008529C6" w:rsidRDefault="008529C6" w:rsidP="008529C6">
      <w:pPr>
        <w:suppressAutoHyphens w:val="0"/>
        <w:autoSpaceDE w:val="0"/>
        <w:autoSpaceDN w:val="0"/>
        <w:adjustRightInd w:val="0"/>
        <w:jc w:val="both"/>
        <w:rPr>
          <w:szCs w:val="24"/>
        </w:rPr>
      </w:pPr>
    </w:p>
    <w:p w:rsidR="008529C6" w:rsidRPr="008529C6" w:rsidRDefault="008529C6" w:rsidP="008529C6">
      <w:pPr>
        <w:jc w:val="both"/>
        <w:rPr>
          <w:b/>
          <w:i/>
          <w:iCs/>
          <w:lang/>
        </w:rPr>
      </w:pPr>
      <w:r w:rsidRPr="008529C6">
        <w:rPr>
          <w:b/>
          <w:i/>
          <w:iCs/>
          <w:lang/>
        </w:rPr>
        <w:t>Követelésekre elszámolt értékvesztés szabályozása</w:t>
      </w:r>
    </w:p>
    <w:p w:rsidR="008529C6" w:rsidRPr="008529C6" w:rsidRDefault="008529C6" w:rsidP="008529C6">
      <w:pPr>
        <w:jc w:val="both"/>
        <w:rPr>
          <w:iCs/>
          <w:lang/>
        </w:rPr>
      </w:pPr>
    </w:p>
    <w:p w:rsidR="008529C6" w:rsidRPr="008529C6" w:rsidRDefault="008529C6" w:rsidP="008529C6">
      <w:pPr>
        <w:jc w:val="both"/>
        <w:rPr>
          <w:iCs/>
          <w:lang/>
        </w:rPr>
      </w:pPr>
      <w:r w:rsidRPr="008529C6">
        <w:rPr>
          <w:iCs/>
          <w:lang/>
        </w:rPr>
        <w:t xml:space="preserve">Értékvesztést kell elszámolni azokra a mérlegforduló napján meglévő követelésekre, melyeket a mérlegkészítés időpontjáig nem egyenlítettek ki, és a várhatóan megtérülő összeg és a könyvszerinti érték közötti veszteség jellegű </w:t>
      </w:r>
      <w:proofErr w:type="gramStart"/>
      <w:r w:rsidRPr="008529C6">
        <w:rPr>
          <w:iCs/>
          <w:lang/>
        </w:rPr>
        <w:t>különbség tartós</w:t>
      </w:r>
      <w:proofErr w:type="gramEnd"/>
      <w:r w:rsidRPr="008529C6">
        <w:rPr>
          <w:iCs/>
          <w:lang/>
        </w:rPr>
        <w:t xml:space="preserve"> és jelentős. </w:t>
      </w:r>
    </w:p>
    <w:p w:rsidR="008529C6" w:rsidRPr="008529C6" w:rsidRDefault="008529C6" w:rsidP="008529C6">
      <w:pPr>
        <w:suppressAutoHyphens w:val="0"/>
        <w:spacing w:line="240" w:lineRule="atLeast"/>
        <w:ind w:left="420"/>
        <w:jc w:val="both"/>
        <w:rPr>
          <w:szCs w:val="24"/>
        </w:rPr>
      </w:pPr>
    </w:p>
    <w:p w:rsidR="008529C6" w:rsidRPr="008529C6" w:rsidRDefault="008529C6" w:rsidP="008529C6">
      <w:pPr>
        <w:suppressAutoHyphens w:val="0"/>
        <w:spacing w:line="240" w:lineRule="atLeast"/>
        <w:jc w:val="both"/>
        <w:rPr>
          <w:szCs w:val="24"/>
        </w:rPr>
      </w:pPr>
      <w:r w:rsidRPr="008529C6">
        <w:rPr>
          <w:szCs w:val="24"/>
        </w:rPr>
        <w:t>A Társaság jelentősnek tekinti az értékvesztés összegét, amennyiben a vevő, adós mérleg fordulónapján meglévő tartozásának 20%-át, de legalább 10 E Ft-ot eléri és tartósnak, ha a fizetés esedékességének lejárta a mérlegforduló napig a fél évet meghaladja.</w:t>
      </w:r>
    </w:p>
    <w:p w:rsidR="008529C6" w:rsidRPr="008529C6" w:rsidRDefault="008529C6" w:rsidP="008529C6">
      <w:pPr>
        <w:suppressAutoHyphens w:val="0"/>
        <w:spacing w:line="240" w:lineRule="atLeast"/>
        <w:jc w:val="both"/>
        <w:rPr>
          <w:szCs w:val="24"/>
        </w:rPr>
      </w:pPr>
    </w:p>
    <w:p w:rsidR="008529C6" w:rsidRPr="008529C6" w:rsidRDefault="008529C6" w:rsidP="008529C6">
      <w:pPr>
        <w:suppressAutoHyphens w:val="0"/>
        <w:jc w:val="both"/>
        <w:rPr>
          <w:szCs w:val="24"/>
        </w:rPr>
      </w:pPr>
      <w:r w:rsidRPr="008529C6">
        <w:rPr>
          <w:szCs w:val="24"/>
        </w:rPr>
        <w:t>A Társaság a csoportos értékelés körébe vonja be azon vevőket, amelyeknél a mérleg fordulónapon meglévő követelések értéke a 30.000 Ft–</w:t>
      </w:r>
      <w:proofErr w:type="spellStart"/>
      <w:r w:rsidRPr="008529C6">
        <w:rPr>
          <w:szCs w:val="24"/>
        </w:rPr>
        <w:t>ot</w:t>
      </w:r>
      <w:proofErr w:type="spellEnd"/>
      <w:r w:rsidRPr="008529C6">
        <w:rPr>
          <w:szCs w:val="24"/>
        </w:rPr>
        <w:t xml:space="preserve"> nem éri el. A lakossági követeléseket csoportos értékelés körébe kell bevonni.</w:t>
      </w:r>
    </w:p>
    <w:p w:rsidR="008529C6" w:rsidRPr="008529C6" w:rsidRDefault="008529C6" w:rsidP="008529C6">
      <w:pPr>
        <w:suppressAutoHyphens w:val="0"/>
        <w:jc w:val="both"/>
        <w:rPr>
          <w:szCs w:val="24"/>
        </w:rPr>
      </w:pPr>
    </w:p>
    <w:p w:rsidR="008529C6" w:rsidRPr="008529C6" w:rsidRDefault="008529C6" w:rsidP="008529C6">
      <w:pPr>
        <w:suppressAutoHyphens w:val="0"/>
        <w:jc w:val="both"/>
        <w:rPr>
          <w:szCs w:val="24"/>
        </w:rPr>
      </w:pPr>
    </w:p>
    <w:p w:rsidR="008529C6" w:rsidRPr="008529C6" w:rsidRDefault="008529C6" w:rsidP="008529C6">
      <w:pPr>
        <w:suppressAutoHyphens w:val="0"/>
        <w:jc w:val="both"/>
        <w:rPr>
          <w:szCs w:val="24"/>
        </w:rPr>
      </w:pPr>
    </w:p>
    <w:p w:rsidR="008529C6" w:rsidRPr="008529C6" w:rsidRDefault="008529C6" w:rsidP="008529C6">
      <w:pPr>
        <w:suppressAutoHyphens w:val="0"/>
        <w:jc w:val="both"/>
        <w:rPr>
          <w:szCs w:val="24"/>
        </w:rPr>
      </w:pPr>
      <w:r w:rsidRPr="008529C6">
        <w:rPr>
          <w:szCs w:val="24"/>
        </w:rPr>
        <w:t>A csoportos értékelés körébe bevont követelések értékvesztés nagyságának meghatározása a fizetési késedelem hosszától függően:</w:t>
      </w:r>
    </w:p>
    <w:p w:rsidR="008529C6" w:rsidRPr="008529C6" w:rsidRDefault="008529C6" w:rsidP="008529C6">
      <w:pPr>
        <w:suppressAutoHyphens w:val="0"/>
        <w:jc w:val="both"/>
        <w:rPr>
          <w:szCs w:val="24"/>
        </w:rPr>
      </w:pPr>
    </w:p>
    <w:p w:rsidR="008529C6" w:rsidRPr="008529C6" w:rsidRDefault="008529C6" w:rsidP="008529C6">
      <w:pPr>
        <w:numPr>
          <w:ilvl w:val="0"/>
          <w:numId w:val="6"/>
        </w:numPr>
        <w:suppressAutoHyphens w:val="0"/>
        <w:ind w:firstLine="851"/>
        <w:jc w:val="both"/>
        <w:rPr>
          <w:szCs w:val="24"/>
        </w:rPr>
      </w:pPr>
      <w:r w:rsidRPr="008529C6">
        <w:rPr>
          <w:szCs w:val="24"/>
        </w:rPr>
        <w:t>180-360 nap közötti késedelem esetén 50%;</w:t>
      </w:r>
    </w:p>
    <w:p w:rsidR="008529C6" w:rsidRPr="008529C6" w:rsidRDefault="008529C6" w:rsidP="008529C6">
      <w:pPr>
        <w:numPr>
          <w:ilvl w:val="0"/>
          <w:numId w:val="6"/>
        </w:numPr>
        <w:suppressAutoHyphens w:val="0"/>
        <w:ind w:firstLine="851"/>
        <w:jc w:val="both"/>
        <w:rPr>
          <w:szCs w:val="24"/>
        </w:rPr>
      </w:pPr>
      <w:r w:rsidRPr="008529C6">
        <w:rPr>
          <w:szCs w:val="24"/>
        </w:rPr>
        <w:t>361-540 nap között 70%;</w:t>
      </w:r>
    </w:p>
    <w:p w:rsidR="008529C6" w:rsidRPr="008529C6" w:rsidRDefault="008529C6" w:rsidP="008529C6">
      <w:pPr>
        <w:numPr>
          <w:ilvl w:val="0"/>
          <w:numId w:val="6"/>
        </w:numPr>
        <w:suppressAutoHyphens w:val="0"/>
        <w:ind w:firstLine="851"/>
        <w:jc w:val="both"/>
        <w:rPr>
          <w:szCs w:val="24"/>
        </w:rPr>
      </w:pPr>
      <w:r w:rsidRPr="008529C6">
        <w:rPr>
          <w:szCs w:val="24"/>
        </w:rPr>
        <w:t>541- 100%.</w:t>
      </w:r>
    </w:p>
    <w:p w:rsidR="008529C6" w:rsidRPr="008529C6" w:rsidRDefault="008529C6" w:rsidP="008529C6">
      <w:pPr>
        <w:suppressAutoHyphens w:val="0"/>
        <w:jc w:val="both"/>
        <w:rPr>
          <w:szCs w:val="24"/>
        </w:rPr>
      </w:pPr>
    </w:p>
    <w:p w:rsidR="008529C6" w:rsidRPr="008529C6" w:rsidRDefault="008529C6" w:rsidP="008529C6">
      <w:pPr>
        <w:suppressAutoHyphens w:val="0"/>
        <w:spacing w:line="240" w:lineRule="atLeast"/>
        <w:jc w:val="both"/>
        <w:rPr>
          <w:szCs w:val="24"/>
        </w:rPr>
      </w:pPr>
      <w:r w:rsidRPr="008529C6">
        <w:rPr>
          <w:szCs w:val="24"/>
        </w:rPr>
        <w:t xml:space="preserve">A 2019. évi éves beszámoló könyvvizsgálatát a KONTROLLPONT Számviteli és Könyvvizsgáló Kft képviseletében eljáró </w:t>
      </w:r>
      <w:proofErr w:type="spellStart"/>
      <w:r w:rsidRPr="008529C6">
        <w:rPr>
          <w:szCs w:val="24"/>
        </w:rPr>
        <w:t>Hartyányiné</w:t>
      </w:r>
      <w:proofErr w:type="spellEnd"/>
      <w:r w:rsidRPr="008529C6">
        <w:rPr>
          <w:szCs w:val="24"/>
        </w:rPr>
        <w:t xml:space="preserve"> </w:t>
      </w:r>
      <w:proofErr w:type="spellStart"/>
      <w:r w:rsidRPr="008529C6">
        <w:rPr>
          <w:szCs w:val="24"/>
        </w:rPr>
        <w:t>Mérei</w:t>
      </w:r>
      <w:proofErr w:type="spellEnd"/>
      <w:r w:rsidRPr="008529C6">
        <w:rPr>
          <w:szCs w:val="24"/>
        </w:rPr>
        <w:t xml:space="preserve"> Judit (Magyar Könyvvizsgálói Kamarai nyilvántartási száma: 006096, cím: </w:t>
      </w:r>
      <w:proofErr w:type="gramStart"/>
      <w:r w:rsidRPr="008529C6">
        <w:rPr>
          <w:szCs w:val="24"/>
        </w:rPr>
        <w:t>5008  Szolnok</w:t>
      </w:r>
      <w:proofErr w:type="gramEnd"/>
      <w:r w:rsidRPr="008529C6">
        <w:rPr>
          <w:szCs w:val="24"/>
        </w:rPr>
        <w:t>, Gátőr út 47.) végezte el.</w:t>
      </w:r>
    </w:p>
    <w:p w:rsidR="008529C6" w:rsidRPr="008529C6" w:rsidRDefault="008529C6" w:rsidP="008529C6">
      <w:pPr>
        <w:suppressAutoHyphens w:val="0"/>
        <w:spacing w:line="240" w:lineRule="atLeast"/>
        <w:jc w:val="both"/>
        <w:rPr>
          <w:szCs w:val="24"/>
        </w:rPr>
      </w:pPr>
      <w:r w:rsidRPr="008529C6">
        <w:rPr>
          <w:szCs w:val="24"/>
        </w:rPr>
        <w:t>A 2019. év könyvvizsgálatára 695.000 Ft + ÁFA összeget fizet a Társaság a KONTROLLPONT Számviteli és Könyvvizsgáló KFT számlája alapján.</w:t>
      </w:r>
    </w:p>
    <w:p w:rsidR="008529C6" w:rsidRPr="008529C6" w:rsidRDefault="008529C6" w:rsidP="008529C6">
      <w:pPr>
        <w:suppressAutoHyphens w:val="0"/>
        <w:spacing w:line="240" w:lineRule="atLeast"/>
        <w:jc w:val="both"/>
        <w:rPr>
          <w:szCs w:val="24"/>
        </w:rPr>
      </w:pPr>
    </w:p>
    <w:p w:rsidR="008529C6" w:rsidRPr="008529C6" w:rsidRDefault="008529C6" w:rsidP="008529C6">
      <w:pPr>
        <w:suppressAutoHyphens w:val="0"/>
        <w:jc w:val="both"/>
      </w:pPr>
      <w:r w:rsidRPr="008529C6">
        <w:t xml:space="preserve">A Társaságnál a könyvviteli szolgáltatás körébe tartozó feladatok ellenőrzését, a beszámoló összeállítását a Társaság alkalmazásában álló </w:t>
      </w:r>
      <w:proofErr w:type="spellStart"/>
      <w:r w:rsidRPr="008529C6">
        <w:t>Hoppál</w:t>
      </w:r>
      <w:proofErr w:type="spellEnd"/>
      <w:r w:rsidRPr="008529C6">
        <w:t xml:space="preserve"> Zoltánné (Könyvviteli szolgáltatás végzési nyilvántartási száma: 182594) végzi.</w:t>
      </w:r>
    </w:p>
    <w:p w:rsidR="008529C6" w:rsidRPr="008529C6" w:rsidRDefault="008529C6" w:rsidP="008529C6">
      <w:pPr>
        <w:suppressAutoHyphens w:val="0"/>
        <w:jc w:val="both"/>
      </w:pPr>
    </w:p>
    <w:p w:rsidR="008529C6" w:rsidRPr="008529C6" w:rsidRDefault="008529C6" w:rsidP="008529C6">
      <w:pPr>
        <w:suppressAutoHyphens w:val="0"/>
        <w:jc w:val="both"/>
      </w:pPr>
      <w:r w:rsidRPr="008529C6">
        <w:t>Társaságunk hulladékkezelési közszolgáltatói státusza 2018. január 23-al megszűnt, így 2019. évre vonatkozóan a hulladékkezelési tevékenységek szétválasztási mérlege és eredmény-kimutatása nem kerül bemutatásra a kiegészítő mellékletben.</w:t>
      </w:r>
    </w:p>
    <w:p w:rsidR="008529C6" w:rsidRPr="008529C6" w:rsidRDefault="008529C6" w:rsidP="008529C6">
      <w:pPr>
        <w:suppressAutoHyphens w:val="0"/>
        <w:overflowPunct w:val="0"/>
        <w:autoSpaceDE w:val="0"/>
        <w:autoSpaceDN w:val="0"/>
        <w:adjustRightInd w:val="0"/>
        <w:jc w:val="both"/>
        <w:rPr>
          <w:b/>
          <w:szCs w:val="24"/>
        </w:rPr>
      </w:pPr>
    </w:p>
    <w:p w:rsidR="008529C6" w:rsidRPr="008529C6" w:rsidRDefault="008529C6" w:rsidP="008529C6">
      <w:pPr>
        <w:suppressAutoHyphens w:val="0"/>
        <w:overflowPunct w:val="0"/>
        <w:autoSpaceDE w:val="0"/>
        <w:autoSpaceDN w:val="0"/>
        <w:adjustRightInd w:val="0"/>
        <w:jc w:val="both"/>
        <w:rPr>
          <w:b/>
          <w:szCs w:val="24"/>
        </w:rPr>
      </w:pPr>
      <w:r w:rsidRPr="008529C6">
        <w:rPr>
          <w:b/>
          <w:szCs w:val="24"/>
        </w:rPr>
        <w:t>A vállalkozás vagyoni, pénzügyi, jövedelmezőségi helyzetének bemutatása.</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pPr>
      <w:r w:rsidRPr="008529C6">
        <w:rPr>
          <w:szCs w:val="24"/>
        </w:rPr>
        <w:t>A vagyoni, pénzügyi és jövedelmi helyzet mutatói az 1-es számú mellékletben találhatók.</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 xml:space="preserve">A mutatók alapján megállapítható, hogy a vállalkozás befektetett eszközein túl a forgóeszközeinek is egy részét saját tőkével finanszírozza. A jövedelmezőségi mutatók és a saját </w:t>
      </w:r>
      <w:proofErr w:type="gramStart"/>
      <w:r w:rsidRPr="008529C6">
        <w:rPr>
          <w:szCs w:val="24"/>
        </w:rPr>
        <w:t>tőke növekedést</w:t>
      </w:r>
      <w:proofErr w:type="gramEnd"/>
      <w:r w:rsidRPr="008529C6">
        <w:rPr>
          <w:szCs w:val="24"/>
        </w:rPr>
        <w:t xml:space="preserve"> mutat az elmúlt évhez képest. A vállalkozás likviditási mutatói csökkenést mutatnak. A vevői követelés napokban mutató, valamint a szállítói kötelezettség napokban mutató jelentős növekedést mutat az előző évhez képest. A Társaság szabad pénzeszközeit értékpapírba (befektetési jegybe) fekteti, valamint megtakarítási számlán tartja.</w:t>
      </w:r>
    </w:p>
    <w:p w:rsidR="008529C6" w:rsidRPr="008529C6" w:rsidRDefault="008529C6" w:rsidP="008529C6">
      <w:pPr>
        <w:suppressAutoHyphens w:val="0"/>
        <w:overflowPunct w:val="0"/>
        <w:autoSpaceDE w:val="0"/>
        <w:autoSpaceDN w:val="0"/>
        <w:adjustRightInd w:val="0"/>
        <w:jc w:val="both"/>
        <w:rPr>
          <w:b/>
          <w:szCs w:val="24"/>
        </w:rPr>
      </w:pPr>
    </w:p>
    <w:p w:rsidR="008529C6" w:rsidRPr="008529C6" w:rsidRDefault="008529C6" w:rsidP="008529C6">
      <w:pPr>
        <w:suppressAutoHyphens w:val="0"/>
        <w:overflowPunct w:val="0"/>
        <w:autoSpaceDE w:val="0"/>
        <w:autoSpaceDN w:val="0"/>
        <w:adjustRightInd w:val="0"/>
        <w:jc w:val="both"/>
        <w:rPr>
          <w:b/>
        </w:rPr>
      </w:pPr>
      <w:r w:rsidRPr="008529C6">
        <w:rPr>
          <w:b/>
          <w:szCs w:val="24"/>
        </w:rPr>
        <w:t xml:space="preserve">Társaság </w:t>
      </w:r>
      <w:proofErr w:type="spellStart"/>
      <w:r w:rsidRPr="008529C6">
        <w:rPr>
          <w:b/>
          <w:szCs w:val="24"/>
        </w:rPr>
        <w:t>Cash-Flow</w:t>
      </w:r>
      <w:proofErr w:type="spellEnd"/>
      <w:r w:rsidRPr="008529C6">
        <w:rPr>
          <w:b/>
          <w:szCs w:val="24"/>
        </w:rPr>
        <w:t xml:space="preserve"> kimutatása a 2. sz. mellékletben található.</w:t>
      </w:r>
    </w:p>
    <w:p w:rsidR="008529C6" w:rsidRPr="008529C6" w:rsidRDefault="008529C6" w:rsidP="008529C6">
      <w:pPr>
        <w:suppressAutoHyphens w:val="0"/>
        <w:overflowPunct w:val="0"/>
        <w:autoSpaceDE w:val="0"/>
        <w:autoSpaceDN w:val="0"/>
        <w:adjustRightInd w:val="0"/>
        <w:jc w:val="both"/>
        <w:rPr>
          <w:b/>
          <w:i/>
          <w:szCs w:val="24"/>
          <w:u w:val="single"/>
        </w:rPr>
      </w:pPr>
    </w:p>
    <w:p w:rsidR="008529C6" w:rsidRPr="008529C6" w:rsidRDefault="008529C6" w:rsidP="008529C6">
      <w:pPr>
        <w:suppressAutoHyphens w:val="0"/>
        <w:overflowPunct w:val="0"/>
        <w:autoSpaceDE w:val="0"/>
        <w:autoSpaceDN w:val="0"/>
        <w:adjustRightInd w:val="0"/>
        <w:jc w:val="both"/>
      </w:pPr>
      <w:r w:rsidRPr="008529C6">
        <w:rPr>
          <w:b/>
          <w:i/>
          <w:szCs w:val="24"/>
          <w:u w:val="single"/>
        </w:rPr>
        <w:t>2. Specifikus rész</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2.1 Mérleghez kapcsolódó kiegészítések</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Társaságunk 2019. évi éves beszámolója három oszlopos mérleg és eredmény-kimutatással készült.</w:t>
      </w:r>
    </w:p>
    <w:p w:rsidR="008529C6" w:rsidRPr="008529C6" w:rsidRDefault="008529C6" w:rsidP="008529C6">
      <w:pPr>
        <w:suppressAutoHyphens w:val="0"/>
        <w:overflowPunct w:val="0"/>
        <w:autoSpaceDE w:val="0"/>
        <w:autoSpaceDN w:val="0"/>
        <w:adjustRightInd w:val="0"/>
        <w:jc w:val="both"/>
        <w:rPr>
          <w:szCs w:val="24"/>
        </w:rPr>
      </w:pPr>
      <w:r w:rsidRPr="008529C6">
        <w:rPr>
          <w:szCs w:val="24"/>
        </w:rPr>
        <w:t>2017. évben, valamint 2018. január 23-ig, mint hulladékkezelési közszolgáltatónak az NHKV Nemzeti Hulladékgazdálkodási Koordináló és Vagyonkezelő ZRT. a begyűjtött és elszállított hulladékmennyiségre szolgáltatási díjat számolt el. A negyedéveket követő szolgáltatási díj elszámolások nem fedezték a Társaság közszolgáltatási tevékenységének felmerült költségeit, így 2019. február hónapban a 2017. teljes évre és a 2018. I. negyedévre díj felülvizsgálati kérelem került benyújtásra.</w:t>
      </w:r>
    </w:p>
    <w:p w:rsidR="008529C6" w:rsidRPr="008529C6" w:rsidRDefault="008529C6" w:rsidP="008529C6">
      <w:pPr>
        <w:suppressAutoHyphens w:val="0"/>
        <w:overflowPunct w:val="0"/>
        <w:autoSpaceDE w:val="0"/>
        <w:autoSpaceDN w:val="0"/>
        <w:adjustRightInd w:val="0"/>
        <w:jc w:val="both"/>
        <w:rPr>
          <w:szCs w:val="24"/>
        </w:rPr>
      </w:pPr>
      <w:r w:rsidRPr="008529C6">
        <w:rPr>
          <w:szCs w:val="24"/>
        </w:rPr>
        <w:t>A díjfelülvizsgálat eredményeként 2019. június 4-én teljesítés igazolás alapján számla került kiállításra a 2017. IV. negyedévi és a 2018. I. negyedévi szolgáltatási díj elszámolásáról.</w:t>
      </w:r>
    </w:p>
    <w:p w:rsidR="008529C6" w:rsidRPr="008529C6" w:rsidRDefault="008529C6" w:rsidP="008529C6">
      <w:pPr>
        <w:suppressAutoHyphens w:val="0"/>
        <w:overflowPunct w:val="0"/>
        <w:autoSpaceDE w:val="0"/>
        <w:autoSpaceDN w:val="0"/>
        <w:adjustRightInd w:val="0"/>
        <w:jc w:val="both"/>
        <w:rPr>
          <w:szCs w:val="24"/>
        </w:rPr>
      </w:pPr>
      <w:r w:rsidRPr="008529C6">
        <w:rPr>
          <w:szCs w:val="24"/>
        </w:rPr>
        <w:t>A jelentős árbevétel összegre tekintettel a mérleg és eredmény-kimutatás középső oszlopa tartalmazza az előző évek módosítását a következők szerint:</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numPr>
          <w:ilvl w:val="0"/>
          <w:numId w:val="8"/>
        </w:numPr>
        <w:suppressAutoHyphens w:val="0"/>
        <w:overflowPunct w:val="0"/>
        <w:autoSpaceDE w:val="0"/>
        <w:autoSpaceDN w:val="0"/>
        <w:adjustRightInd w:val="0"/>
        <w:jc w:val="both"/>
      </w:pPr>
      <w:r w:rsidRPr="008529C6">
        <w:lastRenderedPageBreak/>
        <w:t>2017. évi árbevétel</w:t>
      </w:r>
      <w:r w:rsidRPr="008529C6">
        <w:tab/>
      </w:r>
      <w:r w:rsidRPr="008529C6">
        <w:tab/>
      </w:r>
      <w:r w:rsidRPr="008529C6">
        <w:tab/>
      </w:r>
      <w:r w:rsidRPr="008529C6">
        <w:tab/>
      </w:r>
      <w:r w:rsidRPr="008529C6">
        <w:tab/>
        <w:t>41 004 E Ft</w:t>
      </w:r>
    </w:p>
    <w:p w:rsidR="008529C6" w:rsidRPr="008529C6" w:rsidRDefault="008529C6" w:rsidP="008529C6">
      <w:pPr>
        <w:numPr>
          <w:ilvl w:val="0"/>
          <w:numId w:val="8"/>
        </w:numPr>
        <w:suppressAutoHyphens w:val="0"/>
        <w:overflowPunct w:val="0"/>
        <w:autoSpaceDE w:val="0"/>
        <w:autoSpaceDN w:val="0"/>
        <w:adjustRightInd w:val="0"/>
        <w:jc w:val="both"/>
      </w:pPr>
      <w:r w:rsidRPr="008529C6">
        <w:t xml:space="preserve">2018. évi </w:t>
      </w:r>
      <w:proofErr w:type="gramStart"/>
      <w:r w:rsidRPr="008529C6">
        <w:t>árbevétel</w:t>
      </w:r>
      <w:r w:rsidRPr="008529C6">
        <w:tab/>
      </w:r>
      <w:r w:rsidRPr="008529C6">
        <w:tab/>
      </w:r>
      <w:r w:rsidRPr="008529C6">
        <w:tab/>
      </w:r>
      <w:r w:rsidRPr="008529C6">
        <w:tab/>
      </w:r>
      <w:r w:rsidRPr="008529C6">
        <w:tab/>
        <w:t xml:space="preserve">     683</w:t>
      </w:r>
      <w:proofErr w:type="gramEnd"/>
      <w:r w:rsidRPr="008529C6">
        <w:t xml:space="preserve"> E Ft</w:t>
      </w:r>
    </w:p>
    <w:p w:rsidR="008529C6" w:rsidRPr="008529C6" w:rsidRDefault="008529C6" w:rsidP="008529C6">
      <w:pPr>
        <w:numPr>
          <w:ilvl w:val="0"/>
          <w:numId w:val="8"/>
        </w:numPr>
        <w:suppressAutoHyphens w:val="0"/>
        <w:overflowPunct w:val="0"/>
        <w:autoSpaceDE w:val="0"/>
        <w:autoSpaceDN w:val="0"/>
        <w:adjustRightInd w:val="0"/>
        <w:jc w:val="both"/>
      </w:pPr>
      <w:r w:rsidRPr="008529C6">
        <w:t xml:space="preserve">Egyéb </w:t>
      </w:r>
      <w:proofErr w:type="spellStart"/>
      <w:proofErr w:type="gramStart"/>
      <w:r w:rsidRPr="008529C6">
        <w:t>ráfordítésok</w:t>
      </w:r>
      <w:proofErr w:type="spellEnd"/>
      <w:r w:rsidRPr="008529C6">
        <w:tab/>
      </w:r>
      <w:r w:rsidRPr="008529C6">
        <w:tab/>
      </w:r>
      <w:r w:rsidRPr="008529C6">
        <w:tab/>
      </w:r>
      <w:r w:rsidRPr="008529C6">
        <w:tab/>
      </w:r>
      <w:r w:rsidRPr="008529C6">
        <w:tab/>
        <w:t xml:space="preserve">    959</w:t>
      </w:r>
      <w:proofErr w:type="gramEnd"/>
      <w:r w:rsidRPr="008529C6">
        <w:t xml:space="preserve"> E Ft</w:t>
      </w:r>
    </w:p>
    <w:p w:rsidR="008529C6" w:rsidRPr="008529C6" w:rsidRDefault="008529C6" w:rsidP="008529C6">
      <w:pPr>
        <w:suppressAutoHyphens w:val="0"/>
        <w:overflowPunct w:val="0"/>
        <w:autoSpaceDE w:val="0"/>
        <w:autoSpaceDN w:val="0"/>
        <w:adjustRightInd w:val="0"/>
        <w:ind w:left="720"/>
        <w:jc w:val="both"/>
      </w:pPr>
      <w:proofErr w:type="gramStart"/>
      <w:r w:rsidRPr="008529C6">
        <w:t>ebből</w:t>
      </w:r>
      <w:proofErr w:type="gramEnd"/>
      <w:r w:rsidRPr="008529C6">
        <w:t>: Iparűzési adó fizetési kötelezettség                    834 E Ft</w:t>
      </w:r>
    </w:p>
    <w:p w:rsidR="008529C6" w:rsidRPr="008529C6" w:rsidRDefault="008529C6" w:rsidP="008529C6">
      <w:pPr>
        <w:suppressAutoHyphens w:val="0"/>
        <w:overflowPunct w:val="0"/>
        <w:autoSpaceDE w:val="0"/>
        <w:autoSpaceDN w:val="0"/>
        <w:adjustRightInd w:val="0"/>
        <w:ind w:left="720"/>
        <w:jc w:val="both"/>
      </w:pPr>
      <w:r w:rsidRPr="008529C6">
        <w:t xml:space="preserve">           Innovációs </w:t>
      </w:r>
      <w:proofErr w:type="gramStart"/>
      <w:r w:rsidRPr="008529C6">
        <w:t>járulék fizetési</w:t>
      </w:r>
      <w:proofErr w:type="gramEnd"/>
      <w:r w:rsidRPr="008529C6">
        <w:t xml:space="preserve"> kötelezettség            125 E Ft</w:t>
      </w:r>
    </w:p>
    <w:p w:rsidR="008529C6" w:rsidRPr="008529C6" w:rsidRDefault="008529C6" w:rsidP="008529C6">
      <w:pPr>
        <w:suppressAutoHyphens w:val="0"/>
        <w:overflowPunct w:val="0"/>
        <w:autoSpaceDE w:val="0"/>
        <w:autoSpaceDN w:val="0"/>
        <w:adjustRightInd w:val="0"/>
        <w:ind w:left="720"/>
        <w:jc w:val="both"/>
      </w:pPr>
    </w:p>
    <w:p w:rsidR="008529C6" w:rsidRPr="008529C6" w:rsidRDefault="008529C6" w:rsidP="008529C6">
      <w:pPr>
        <w:numPr>
          <w:ilvl w:val="0"/>
          <w:numId w:val="8"/>
        </w:numPr>
        <w:suppressAutoHyphens w:val="0"/>
        <w:overflowPunct w:val="0"/>
        <w:autoSpaceDE w:val="0"/>
        <w:autoSpaceDN w:val="0"/>
        <w:adjustRightInd w:val="0"/>
        <w:jc w:val="both"/>
      </w:pPr>
      <w:r w:rsidRPr="008529C6">
        <w:t>Vevői követelés</w:t>
      </w:r>
      <w:r w:rsidRPr="008529C6">
        <w:tab/>
      </w:r>
      <w:r w:rsidRPr="008529C6">
        <w:tab/>
      </w:r>
      <w:r w:rsidRPr="008529C6">
        <w:tab/>
      </w:r>
      <w:r w:rsidRPr="008529C6">
        <w:tab/>
      </w:r>
      <w:r w:rsidRPr="008529C6">
        <w:tab/>
        <w:t>52 942 E Ft</w:t>
      </w:r>
    </w:p>
    <w:p w:rsidR="008529C6" w:rsidRPr="008529C6" w:rsidRDefault="008529C6" w:rsidP="008529C6">
      <w:pPr>
        <w:numPr>
          <w:ilvl w:val="0"/>
          <w:numId w:val="8"/>
        </w:numPr>
        <w:suppressAutoHyphens w:val="0"/>
        <w:overflowPunct w:val="0"/>
        <w:autoSpaceDE w:val="0"/>
        <w:autoSpaceDN w:val="0"/>
        <w:adjustRightInd w:val="0"/>
        <w:jc w:val="both"/>
      </w:pPr>
      <w:r w:rsidRPr="008529C6">
        <w:t>Rövid lejáratú kötelezettség</w:t>
      </w:r>
      <w:r w:rsidRPr="008529C6">
        <w:tab/>
      </w:r>
      <w:r w:rsidRPr="008529C6">
        <w:tab/>
      </w:r>
      <w:r w:rsidRPr="008529C6">
        <w:tab/>
      </w:r>
      <w:r w:rsidRPr="008529C6">
        <w:tab/>
        <w:t>12 258 E Ft</w:t>
      </w:r>
    </w:p>
    <w:p w:rsidR="008529C6" w:rsidRPr="008529C6" w:rsidRDefault="008529C6" w:rsidP="008529C6">
      <w:pPr>
        <w:suppressAutoHyphens w:val="0"/>
        <w:overflowPunct w:val="0"/>
        <w:autoSpaceDE w:val="0"/>
        <w:autoSpaceDN w:val="0"/>
        <w:adjustRightInd w:val="0"/>
        <w:ind w:left="720"/>
        <w:jc w:val="both"/>
      </w:pPr>
      <w:proofErr w:type="gramStart"/>
      <w:r w:rsidRPr="008529C6">
        <w:t>ebből</w:t>
      </w:r>
      <w:proofErr w:type="gramEnd"/>
      <w:r w:rsidRPr="008529C6">
        <w:t xml:space="preserve">: ÁFA fizetési kötelezettség </w:t>
      </w:r>
      <w:r w:rsidRPr="008529C6">
        <w:tab/>
      </w:r>
      <w:r w:rsidRPr="008529C6">
        <w:tab/>
      </w:r>
      <w:r w:rsidRPr="008529C6">
        <w:tab/>
        <w:t>11 255 E Ft</w:t>
      </w:r>
    </w:p>
    <w:p w:rsidR="008529C6" w:rsidRPr="008529C6" w:rsidRDefault="008529C6" w:rsidP="008529C6">
      <w:pPr>
        <w:suppressAutoHyphens w:val="0"/>
        <w:overflowPunct w:val="0"/>
        <w:autoSpaceDE w:val="0"/>
        <w:autoSpaceDN w:val="0"/>
        <w:adjustRightInd w:val="0"/>
        <w:ind w:left="720"/>
        <w:jc w:val="both"/>
      </w:pPr>
      <w:r w:rsidRPr="008529C6">
        <w:t xml:space="preserve">           Iparűzési adó fizetési </w:t>
      </w:r>
      <w:proofErr w:type="gramStart"/>
      <w:r w:rsidRPr="008529C6">
        <w:t>kötelezettség                     834</w:t>
      </w:r>
      <w:proofErr w:type="gramEnd"/>
      <w:r w:rsidRPr="008529C6">
        <w:t xml:space="preserve"> E Ft</w:t>
      </w:r>
    </w:p>
    <w:p w:rsidR="008529C6" w:rsidRPr="008529C6" w:rsidRDefault="008529C6" w:rsidP="008529C6">
      <w:pPr>
        <w:suppressAutoHyphens w:val="0"/>
        <w:overflowPunct w:val="0"/>
        <w:autoSpaceDE w:val="0"/>
        <w:autoSpaceDN w:val="0"/>
        <w:adjustRightInd w:val="0"/>
        <w:ind w:left="720"/>
        <w:jc w:val="both"/>
      </w:pPr>
      <w:r w:rsidRPr="008529C6">
        <w:t xml:space="preserve">           Innovációs </w:t>
      </w:r>
      <w:proofErr w:type="gramStart"/>
      <w:r w:rsidRPr="008529C6">
        <w:t>járulék fizetési</w:t>
      </w:r>
      <w:proofErr w:type="gramEnd"/>
      <w:r w:rsidRPr="008529C6">
        <w:t xml:space="preserve"> kötelezettség             125 E Ft</w:t>
      </w:r>
    </w:p>
    <w:p w:rsidR="008529C6" w:rsidRPr="008529C6" w:rsidRDefault="008529C6" w:rsidP="008529C6">
      <w:pPr>
        <w:suppressAutoHyphens w:val="0"/>
        <w:overflowPunct w:val="0"/>
        <w:autoSpaceDE w:val="0"/>
        <w:autoSpaceDN w:val="0"/>
        <w:adjustRightInd w:val="0"/>
        <w:ind w:left="720"/>
        <w:jc w:val="both"/>
      </w:pPr>
      <w:r w:rsidRPr="008529C6">
        <w:t xml:space="preserve">           Társasági adó fizetési </w:t>
      </w:r>
      <w:proofErr w:type="gramStart"/>
      <w:r w:rsidRPr="008529C6">
        <w:t>kötelezettség                       44</w:t>
      </w:r>
      <w:proofErr w:type="gramEnd"/>
      <w:r w:rsidRPr="008529C6">
        <w:t xml:space="preserve"> E Ft</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pPr>
      <w:r w:rsidRPr="008529C6">
        <w:rPr>
          <w:szCs w:val="24"/>
        </w:rPr>
        <w:t>A befektetett eszközök közül a tárgyi eszközök bruttó értékének alakulását, valamint az értékcsökkenési leírás elszámolásának változását a következő két táblázat tartalmazza.</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 bruttó érték változása E Ft-ban</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pPr>
      <w:r>
        <w:rPr>
          <w:noProof/>
          <w:szCs w:val="24"/>
        </w:rPr>
        <w:drawing>
          <wp:inline distT="0" distB="0" distL="0" distR="0">
            <wp:extent cx="5852160" cy="153162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160" cy="1531620"/>
                    </a:xfrm>
                    <a:prstGeom prst="rect">
                      <a:avLst/>
                    </a:prstGeom>
                    <a:noFill/>
                    <a:ln>
                      <a:noFill/>
                    </a:ln>
                  </pic:spPr>
                </pic:pic>
              </a:graphicData>
            </a:graphic>
          </wp:inline>
        </w:drawing>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pPr>
      <w:r w:rsidRPr="008529C6">
        <w:t>A műszaki berendezések növekedése az alábbi használt eszközök beszerzéséből adódott:</w:t>
      </w:r>
    </w:p>
    <w:p w:rsidR="008529C6" w:rsidRPr="008529C6" w:rsidRDefault="008529C6" w:rsidP="008529C6">
      <w:pPr>
        <w:numPr>
          <w:ilvl w:val="0"/>
          <w:numId w:val="7"/>
        </w:numPr>
        <w:suppressAutoHyphens w:val="0"/>
        <w:overflowPunct w:val="0"/>
        <w:autoSpaceDE w:val="0"/>
        <w:autoSpaceDN w:val="0"/>
        <w:adjustRightInd w:val="0"/>
        <w:jc w:val="both"/>
      </w:pPr>
      <w:r w:rsidRPr="008529C6">
        <w:t>Homlokvillás targonca 2 db</w:t>
      </w:r>
      <w:r w:rsidRPr="008529C6">
        <w:tab/>
      </w:r>
      <w:r w:rsidRPr="008529C6">
        <w:tab/>
      </w:r>
      <w:r w:rsidRPr="008529C6">
        <w:tab/>
      </w:r>
      <w:r w:rsidRPr="008529C6">
        <w:tab/>
        <w:t>2 824 E Ft</w:t>
      </w:r>
    </w:p>
    <w:p w:rsidR="008529C6" w:rsidRPr="008529C6" w:rsidRDefault="008529C6" w:rsidP="008529C6">
      <w:pPr>
        <w:numPr>
          <w:ilvl w:val="0"/>
          <w:numId w:val="7"/>
        </w:numPr>
        <w:suppressAutoHyphens w:val="0"/>
        <w:overflowPunct w:val="0"/>
        <w:autoSpaceDE w:val="0"/>
        <w:autoSpaceDN w:val="0"/>
        <w:adjustRightInd w:val="0"/>
        <w:jc w:val="both"/>
      </w:pPr>
      <w:r w:rsidRPr="008529C6">
        <w:t>MTZ-TRAC vasúti vontató</w:t>
      </w:r>
      <w:r w:rsidRPr="008529C6">
        <w:tab/>
      </w:r>
      <w:r w:rsidRPr="008529C6">
        <w:tab/>
      </w:r>
      <w:r w:rsidRPr="008529C6">
        <w:tab/>
      </w:r>
      <w:r w:rsidRPr="008529C6">
        <w:tab/>
        <w:t>1 280 E Ft</w:t>
      </w:r>
    </w:p>
    <w:p w:rsidR="008529C6" w:rsidRPr="008529C6" w:rsidRDefault="008529C6" w:rsidP="008529C6">
      <w:pPr>
        <w:numPr>
          <w:ilvl w:val="0"/>
          <w:numId w:val="7"/>
        </w:numPr>
        <w:suppressAutoHyphens w:val="0"/>
        <w:overflowPunct w:val="0"/>
        <w:autoSpaceDE w:val="0"/>
        <w:autoSpaceDN w:val="0"/>
        <w:adjustRightInd w:val="0"/>
        <w:jc w:val="both"/>
      </w:pPr>
      <w:r w:rsidRPr="008529C6">
        <w:t xml:space="preserve">JOHN DEERE fűnyíró </w:t>
      </w:r>
      <w:proofErr w:type="gramStart"/>
      <w:r w:rsidRPr="008529C6">
        <w:t>traktor</w:t>
      </w:r>
      <w:r w:rsidRPr="008529C6">
        <w:tab/>
      </w:r>
      <w:r w:rsidRPr="008529C6">
        <w:tab/>
      </w:r>
      <w:r w:rsidRPr="008529C6">
        <w:tab/>
        <w:t xml:space="preserve">   479</w:t>
      </w:r>
      <w:proofErr w:type="gramEnd"/>
      <w:r w:rsidRPr="008529C6">
        <w:t xml:space="preserve"> E Ft</w:t>
      </w:r>
    </w:p>
    <w:p w:rsidR="008529C6" w:rsidRPr="008529C6" w:rsidRDefault="008529C6" w:rsidP="008529C6">
      <w:pPr>
        <w:numPr>
          <w:ilvl w:val="0"/>
          <w:numId w:val="7"/>
        </w:numPr>
        <w:suppressAutoHyphens w:val="0"/>
        <w:overflowPunct w:val="0"/>
        <w:autoSpaceDE w:val="0"/>
        <w:autoSpaceDN w:val="0"/>
        <w:adjustRightInd w:val="0"/>
        <w:jc w:val="both"/>
      </w:pPr>
      <w:r w:rsidRPr="008529C6">
        <w:t>STIGA PARK PRO kistraktor</w:t>
      </w:r>
      <w:r w:rsidRPr="008529C6">
        <w:tab/>
      </w:r>
      <w:r w:rsidRPr="008529C6">
        <w:tab/>
      </w:r>
      <w:r w:rsidRPr="008529C6">
        <w:tab/>
        <w:t>1 100 E Ft</w:t>
      </w:r>
    </w:p>
    <w:p w:rsidR="008529C6" w:rsidRPr="008529C6" w:rsidRDefault="008529C6" w:rsidP="008529C6">
      <w:pPr>
        <w:numPr>
          <w:ilvl w:val="0"/>
          <w:numId w:val="7"/>
        </w:numPr>
        <w:suppressAutoHyphens w:val="0"/>
        <w:overflowPunct w:val="0"/>
        <w:autoSpaceDE w:val="0"/>
        <w:autoSpaceDN w:val="0"/>
        <w:adjustRightInd w:val="0"/>
        <w:jc w:val="both"/>
      </w:pPr>
      <w:r w:rsidRPr="008529C6">
        <w:t>BOBCAT rakodógép</w:t>
      </w:r>
      <w:r w:rsidRPr="008529C6">
        <w:tab/>
      </w:r>
      <w:r w:rsidRPr="008529C6">
        <w:tab/>
      </w:r>
      <w:r w:rsidRPr="008529C6">
        <w:tab/>
      </w:r>
      <w:r w:rsidRPr="008529C6">
        <w:tab/>
      </w:r>
      <w:r w:rsidRPr="008529C6">
        <w:tab/>
        <w:t>2 810 E Ft</w:t>
      </w:r>
    </w:p>
    <w:p w:rsidR="008529C6" w:rsidRPr="008529C6" w:rsidRDefault="008529C6" w:rsidP="008529C6">
      <w:pPr>
        <w:numPr>
          <w:ilvl w:val="0"/>
          <w:numId w:val="7"/>
        </w:numPr>
        <w:suppressAutoHyphens w:val="0"/>
        <w:overflowPunct w:val="0"/>
        <w:autoSpaceDE w:val="0"/>
        <w:autoSpaceDN w:val="0"/>
        <w:adjustRightInd w:val="0"/>
        <w:jc w:val="both"/>
      </w:pPr>
      <w:r w:rsidRPr="008529C6">
        <w:t>KOMATSU árokásó</w:t>
      </w:r>
      <w:r w:rsidRPr="008529C6">
        <w:tab/>
      </w:r>
      <w:r w:rsidRPr="008529C6">
        <w:tab/>
      </w:r>
      <w:r w:rsidRPr="008529C6">
        <w:tab/>
      </w:r>
      <w:r w:rsidRPr="008529C6">
        <w:tab/>
      </w:r>
      <w:r w:rsidRPr="008529C6">
        <w:tab/>
        <w:t>4 100 E Ft</w:t>
      </w:r>
    </w:p>
    <w:p w:rsidR="008529C6" w:rsidRPr="008529C6" w:rsidRDefault="008529C6" w:rsidP="008529C6">
      <w:pPr>
        <w:numPr>
          <w:ilvl w:val="0"/>
          <w:numId w:val="7"/>
        </w:numPr>
        <w:suppressAutoHyphens w:val="0"/>
        <w:overflowPunct w:val="0"/>
        <w:autoSpaceDE w:val="0"/>
        <w:autoSpaceDN w:val="0"/>
        <w:adjustRightInd w:val="0"/>
        <w:jc w:val="both"/>
      </w:pPr>
      <w:r w:rsidRPr="008529C6">
        <w:t>Mercedes Benz tehergépjármű</w:t>
      </w:r>
      <w:r w:rsidRPr="008529C6">
        <w:tab/>
      </w:r>
      <w:r w:rsidRPr="008529C6">
        <w:tab/>
      </w:r>
      <w:r w:rsidRPr="008529C6">
        <w:tab/>
        <w:t>1 300 E Ft</w:t>
      </w:r>
    </w:p>
    <w:p w:rsidR="008529C6" w:rsidRPr="008529C6" w:rsidRDefault="008529C6" w:rsidP="008529C6">
      <w:pPr>
        <w:numPr>
          <w:ilvl w:val="0"/>
          <w:numId w:val="7"/>
        </w:numPr>
        <w:suppressAutoHyphens w:val="0"/>
        <w:overflowPunct w:val="0"/>
        <w:autoSpaceDE w:val="0"/>
        <w:autoSpaceDN w:val="0"/>
        <w:adjustRightInd w:val="0"/>
        <w:jc w:val="both"/>
      </w:pPr>
      <w:r w:rsidRPr="008529C6">
        <w:t>Nyitott konténer 5 m</w:t>
      </w:r>
      <w:r w:rsidRPr="008529C6">
        <w:rPr>
          <w:vertAlign w:val="superscript"/>
        </w:rPr>
        <w:t>3</w:t>
      </w:r>
      <w:r w:rsidRPr="008529C6">
        <w:t xml:space="preserve">-es 2 </w:t>
      </w:r>
      <w:proofErr w:type="gramStart"/>
      <w:r w:rsidRPr="008529C6">
        <w:t>db</w:t>
      </w:r>
      <w:r w:rsidRPr="008529C6">
        <w:tab/>
      </w:r>
      <w:r w:rsidRPr="008529C6">
        <w:tab/>
      </w:r>
      <w:r w:rsidRPr="008529C6">
        <w:tab/>
        <w:t xml:space="preserve">   556</w:t>
      </w:r>
      <w:proofErr w:type="gramEnd"/>
      <w:r w:rsidRPr="008529C6">
        <w:t xml:space="preserve"> E Ft</w:t>
      </w:r>
    </w:p>
    <w:p w:rsidR="008529C6" w:rsidRPr="008529C6" w:rsidRDefault="008529C6" w:rsidP="008529C6">
      <w:pPr>
        <w:numPr>
          <w:ilvl w:val="0"/>
          <w:numId w:val="7"/>
        </w:numPr>
        <w:suppressAutoHyphens w:val="0"/>
        <w:overflowPunct w:val="0"/>
        <w:autoSpaceDE w:val="0"/>
        <w:autoSpaceDN w:val="0"/>
        <w:adjustRightInd w:val="0"/>
        <w:jc w:val="both"/>
      </w:pPr>
      <w:r w:rsidRPr="008529C6">
        <w:t xml:space="preserve">Talajfúró </w:t>
      </w:r>
      <w:proofErr w:type="gramStart"/>
      <w:r w:rsidRPr="008529C6">
        <w:t>berendezés</w:t>
      </w:r>
      <w:r w:rsidRPr="008529C6">
        <w:tab/>
      </w:r>
      <w:r w:rsidRPr="008529C6">
        <w:tab/>
      </w:r>
      <w:r w:rsidRPr="008529C6">
        <w:tab/>
      </w:r>
      <w:r w:rsidRPr="008529C6">
        <w:tab/>
      </w:r>
      <w:r w:rsidRPr="008529C6">
        <w:tab/>
        <w:t xml:space="preserve">   370</w:t>
      </w:r>
      <w:proofErr w:type="gramEnd"/>
      <w:r w:rsidRPr="008529C6">
        <w:t xml:space="preserve"> E Ft</w:t>
      </w:r>
    </w:p>
    <w:p w:rsidR="008529C6" w:rsidRPr="008529C6" w:rsidRDefault="008529C6" w:rsidP="008529C6">
      <w:pPr>
        <w:numPr>
          <w:ilvl w:val="0"/>
          <w:numId w:val="7"/>
        </w:numPr>
        <w:suppressAutoHyphens w:val="0"/>
        <w:overflowPunct w:val="0"/>
        <w:autoSpaceDE w:val="0"/>
        <w:autoSpaceDN w:val="0"/>
        <w:adjustRightInd w:val="0"/>
        <w:jc w:val="both"/>
      </w:pPr>
      <w:r w:rsidRPr="008529C6">
        <w:t xml:space="preserve">Henger, </w:t>
      </w:r>
      <w:proofErr w:type="gramStart"/>
      <w:r w:rsidRPr="008529C6">
        <w:t>döngölő</w:t>
      </w:r>
      <w:r w:rsidRPr="008529C6">
        <w:tab/>
      </w:r>
      <w:r w:rsidRPr="008529C6">
        <w:tab/>
      </w:r>
      <w:r w:rsidRPr="008529C6">
        <w:tab/>
      </w:r>
      <w:r w:rsidRPr="008529C6">
        <w:tab/>
      </w:r>
      <w:r w:rsidRPr="008529C6">
        <w:tab/>
        <w:t xml:space="preserve">   200</w:t>
      </w:r>
      <w:proofErr w:type="gramEnd"/>
      <w:r w:rsidRPr="008529C6">
        <w:t xml:space="preserve"> E Ft</w:t>
      </w:r>
    </w:p>
    <w:p w:rsidR="008529C6" w:rsidRPr="008529C6" w:rsidRDefault="008529C6" w:rsidP="008529C6">
      <w:pPr>
        <w:numPr>
          <w:ilvl w:val="0"/>
          <w:numId w:val="7"/>
        </w:numPr>
        <w:suppressAutoHyphens w:val="0"/>
        <w:overflowPunct w:val="0"/>
        <w:autoSpaceDE w:val="0"/>
        <w:autoSpaceDN w:val="0"/>
        <w:adjustRightInd w:val="0"/>
        <w:jc w:val="both"/>
      </w:pPr>
      <w:r w:rsidRPr="008529C6">
        <w:t xml:space="preserve">Csővizsgáló </w:t>
      </w:r>
      <w:proofErr w:type="gramStart"/>
      <w:r w:rsidRPr="008529C6">
        <w:t>kamera</w:t>
      </w:r>
      <w:r w:rsidRPr="008529C6">
        <w:tab/>
      </w:r>
      <w:r w:rsidRPr="008529C6">
        <w:tab/>
      </w:r>
      <w:r w:rsidRPr="008529C6">
        <w:tab/>
      </w:r>
      <w:r w:rsidRPr="008529C6">
        <w:tab/>
      </w:r>
      <w:r w:rsidRPr="008529C6">
        <w:tab/>
        <w:t xml:space="preserve">   950</w:t>
      </w:r>
      <w:proofErr w:type="gramEnd"/>
      <w:r w:rsidRPr="008529C6">
        <w:t xml:space="preserve"> E Ft</w:t>
      </w:r>
    </w:p>
    <w:p w:rsidR="008529C6" w:rsidRPr="008529C6" w:rsidRDefault="008529C6" w:rsidP="008529C6">
      <w:pPr>
        <w:numPr>
          <w:ilvl w:val="0"/>
          <w:numId w:val="7"/>
        </w:numPr>
        <w:suppressAutoHyphens w:val="0"/>
        <w:overflowPunct w:val="0"/>
        <w:autoSpaceDE w:val="0"/>
        <w:autoSpaceDN w:val="0"/>
        <w:adjustRightInd w:val="0"/>
        <w:jc w:val="both"/>
      </w:pPr>
      <w:proofErr w:type="gramStart"/>
      <w:r w:rsidRPr="008529C6">
        <w:t>Aszfaltvágó</w:t>
      </w:r>
      <w:r w:rsidRPr="008529C6">
        <w:tab/>
      </w:r>
      <w:r w:rsidRPr="008529C6">
        <w:tab/>
      </w:r>
      <w:r w:rsidRPr="008529C6">
        <w:tab/>
      </w:r>
      <w:r w:rsidRPr="008529C6">
        <w:tab/>
      </w:r>
      <w:r w:rsidRPr="008529C6">
        <w:tab/>
      </w:r>
      <w:r w:rsidRPr="008529C6">
        <w:tab/>
        <w:t xml:space="preserve">     90</w:t>
      </w:r>
      <w:proofErr w:type="gramEnd"/>
      <w:r w:rsidRPr="008529C6">
        <w:t xml:space="preserve"> E Ft</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pPr>
      <w:r w:rsidRPr="008529C6">
        <w:t>A 2019. évi eszköz beszerzésekre 2018. évben 5 400 E Ft fejlesztési tartalékot képeztünk.</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pPr>
      <w:r w:rsidRPr="008529C6">
        <w:t>Az egyéb berendezések növekedésének összegéből jelentősebb a 2014. évben az Országos Hulladékgazdálkodási Ügynökség Iparfejlesztési Rendszerében kiadott OHU-IFPR-2013-001 azonosító számú pályázat keretében az elnyert támogatási összegből beszerzett 5 214 db 120 l-es hulladékgyűjtő edényből 2019. évben 169 db lett használatra kiadva, a házhoz menő szelektív hulladékgyűjtés igénybevételéhez.</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Az értékcsökkenés változása E Ft-ban</w:t>
      </w:r>
    </w:p>
    <w:p w:rsidR="008529C6" w:rsidRPr="008529C6" w:rsidRDefault="008529C6" w:rsidP="008529C6">
      <w:pPr>
        <w:suppressAutoHyphens w:val="0"/>
        <w:overflowPunct w:val="0"/>
        <w:autoSpaceDE w:val="0"/>
        <w:autoSpaceDN w:val="0"/>
        <w:adjustRightInd w:val="0"/>
        <w:ind w:right="-567"/>
        <w:jc w:val="both"/>
        <w:rPr>
          <w:szCs w:val="24"/>
        </w:rPr>
      </w:pPr>
    </w:p>
    <w:p w:rsidR="008529C6" w:rsidRPr="008529C6" w:rsidRDefault="008529C6" w:rsidP="008529C6">
      <w:pPr>
        <w:suppressAutoHyphens w:val="0"/>
        <w:overflowPunct w:val="0"/>
        <w:autoSpaceDE w:val="0"/>
        <w:autoSpaceDN w:val="0"/>
        <w:adjustRightInd w:val="0"/>
        <w:jc w:val="both"/>
        <w:rPr>
          <w:szCs w:val="24"/>
        </w:rPr>
      </w:pPr>
      <w:r>
        <w:rPr>
          <w:noProof/>
          <w:szCs w:val="24"/>
        </w:rPr>
        <w:lastRenderedPageBreak/>
        <w:drawing>
          <wp:inline distT="0" distB="0" distL="0" distR="0">
            <wp:extent cx="5852160" cy="107442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160" cy="1074420"/>
                    </a:xfrm>
                    <a:prstGeom prst="rect">
                      <a:avLst/>
                    </a:prstGeom>
                    <a:noFill/>
                    <a:ln>
                      <a:noFill/>
                    </a:ln>
                  </pic:spPr>
                </pic:pic>
              </a:graphicData>
            </a:graphic>
          </wp:inline>
        </w:drawing>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 Társaság 2019. évben 11 894 E Ft értékcsökkenést számolt el, melyből 9 740 E Ft lineáris és 2 154 E Ft a kis értékű tárgyi eszközök után elszámolt egyösszegű értékcsökkenési leírás.</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 befektetett pénzügyi eszközök között kerül kimutatásra a következő szervezetekben meglévő tulajdonrész:</w:t>
      </w:r>
    </w:p>
    <w:p w:rsidR="008529C6" w:rsidRPr="008529C6" w:rsidRDefault="008529C6" w:rsidP="008529C6">
      <w:pPr>
        <w:suppressAutoHyphens w:val="0"/>
        <w:overflowPunct w:val="0"/>
        <w:autoSpaceDE w:val="0"/>
        <w:autoSpaceDN w:val="0"/>
        <w:adjustRightInd w:val="0"/>
        <w:jc w:val="both"/>
        <w:rPr>
          <w:szCs w:val="24"/>
        </w:rPr>
      </w:pP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t xml:space="preserve">         </w:t>
      </w:r>
      <w:r w:rsidRPr="008529C6">
        <w:rPr>
          <w:szCs w:val="24"/>
        </w:rPr>
        <w:tab/>
      </w:r>
      <w:r w:rsidRPr="008529C6">
        <w:rPr>
          <w:szCs w:val="24"/>
        </w:rPr>
        <w:tab/>
      </w:r>
      <w:r w:rsidRPr="008529C6">
        <w:rPr>
          <w:szCs w:val="24"/>
        </w:rPr>
        <w:tab/>
      </w:r>
      <w:r w:rsidRPr="008529C6">
        <w:rPr>
          <w:szCs w:val="24"/>
        </w:rPr>
        <w:tab/>
        <w:t xml:space="preserve">        E Ft</w:t>
      </w:r>
    </w:p>
    <w:tbl>
      <w:tblPr>
        <w:tblW w:w="9498" w:type="dxa"/>
        <w:tblInd w:w="-72" w:type="dxa"/>
        <w:tblLayout w:type="fixed"/>
        <w:tblCellMar>
          <w:left w:w="70" w:type="dxa"/>
          <w:right w:w="70" w:type="dxa"/>
        </w:tblCellMar>
        <w:tblLook w:val="0000" w:firstRow="0" w:lastRow="0" w:firstColumn="0" w:lastColumn="0" w:noHBand="0" w:noVBand="0"/>
      </w:tblPr>
      <w:tblGrid>
        <w:gridCol w:w="2694"/>
        <w:gridCol w:w="1984"/>
        <w:gridCol w:w="1418"/>
        <w:gridCol w:w="1843"/>
        <w:gridCol w:w="1559"/>
      </w:tblGrid>
      <w:tr w:rsidR="008529C6" w:rsidRPr="008529C6" w:rsidTr="008529C6">
        <w:trPr>
          <w:trHeight w:val="840"/>
        </w:trPr>
        <w:tc>
          <w:tcPr>
            <w:tcW w:w="2694" w:type="dxa"/>
            <w:tcBorders>
              <w:top w:val="single" w:sz="4" w:space="0" w:color="auto"/>
              <w:left w:val="single" w:sz="4" w:space="0" w:color="auto"/>
              <w:bottom w:val="single" w:sz="4" w:space="0" w:color="auto"/>
              <w:right w:val="single" w:sz="4" w:space="0" w:color="auto"/>
            </w:tcBorders>
            <w:noWrap/>
            <w:vAlign w:val="center"/>
          </w:tcPr>
          <w:p w:rsidR="008529C6" w:rsidRPr="008529C6" w:rsidRDefault="008529C6" w:rsidP="008529C6">
            <w:pPr>
              <w:suppressAutoHyphens w:val="0"/>
              <w:jc w:val="center"/>
              <w:rPr>
                <w:rFonts w:ascii="Arial" w:hAnsi="Arial" w:cs="Arial"/>
                <w:sz w:val="20"/>
              </w:rPr>
            </w:pPr>
            <w:r w:rsidRPr="008529C6">
              <w:rPr>
                <w:szCs w:val="24"/>
              </w:rPr>
              <w:t xml:space="preserve"> </w:t>
            </w:r>
            <w:r w:rsidRPr="008529C6">
              <w:rPr>
                <w:rFonts w:ascii="Arial" w:hAnsi="Arial" w:cs="Arial"/>
                <w:sz w:val="20"/>
              </w:rPr>
              <w:t>Gazdasági társaság neve</w:t>
            </w:r>
          </w:p>
        </w:tc>
        <w:tc>
          <w:tcPr>
            <w:tcW w:w="1984" w:type="dxa"/>
            <w:tcBorders>
              <w:top w:val="single" w:sz="4" w:space="0" w:color="auto"/>
              <w:left w:val="nil"/>
              <w:bottom w:val="single" w:sz="4" w:space="0" w:color="auto"/>
              <w:right w:val="single" w:sz="4" w:space="0" w:color="auto"/>
            </w:tcBorders>
            <w:vAlign w:val="center"/>
          </w:tcPr>
          <w:p w:rsidR="008529C6" w:rsidRPr="008529C6" w:rsidRDefault="008529C6" w:rsidP="008529C6">
            <w:pPr>
              <w:suppressAutoHyphens w:val="0"/>
              <w:jc w:val="center"/>
              <w:rPr>
                <w:rFonts w:ascii="Arial" w:hAnsi="Arial" w:cs="Arial"/>
                <w:sz w:val="20"/>
              </w:rPr>
            </w:pPr>
            <w:r w:rsidRPr="008529C6">
              <w:rPr>
                <w:rFonts w:ascii="Arial" w:hAnsi="Arial" w:cs="Arial"/>
                <w:sz w:val="20"/>
              </w:rPr>
              <w:t>Társaság tulajdonosi részesedése névértéken</w:t>
            </w:r>
          </w:p>
        </w:tc>
        <w:tc>
          <w:tcPr>
            <w:tcW w:w="1418" w:type="dxa"/>
            <w:tcBorders>
              <w:top w:val="single" w:sz="4" w:space="0" w:color="auto"/>
              <w:left w:val="nil"/>
              <w:bottom w:val="single" w:sz="4" w:space="0" w:color="auto"/>
              <w:right w:val="single" w:sz="4" w:space="0" w:color="auto"/>
            </w:tcBorders>
          </w:tcPr>
          <w:p w:rsidR="008529C6" w:rsidRPr="008529C6" w:rsidRDefault="008529C6" w:rsidP="008529C6">
            <w:pPr>
              <w:suppressAutoHyphens w:val="0"/>
              <w:jc w:val="center"/>
              <w:rPr>
                <w:rFonts w:ascii="Arial" w:hAnsi="Arial" w:cs="Arial"/>
                <w:sz w:val="20"/>
              </w:rPr>
            </w:pPr>
            <w:r w:rsidRPr="008529C6">
              <w:rPr>
                <w:rFonts w:ascii="Arial" w:hAnsi="Arial" w:cs="Arial"/>
                <w:sz w:val="20"/>
              </w:rPr>
              <w:t xml:space="preserve">        Üzletrész elszámolt értékvesztése</w:t>
            </w:r>
          </w:p>
        </w:tc>
        <w:tc>
          <w:tcPr>
            <w:tcW w:w="1843" w:type="dxa"/>
            <w:tcBorders>
              <w:top w:val="single" w:sz="4" w:space="0" w:color="auto"/>
              <w:left w:val="single" w:sz="4" w:space="0" w:color="auto"/>
              <w:bottom w:val="single" w:sz="4" w:space="0" w:color="auto"/>
              <w:right w:val="single" w:sz="4" w:space="0" w:color="auto"/>
            </w:tcBorders>
            <w:vAlign w:val="center"/>
          </w:tcPr>
          <w:p w:rsidR="008529C6" w:rsidRPr="008529C6" w:rsidRDefault="008529C6" w:rsidP="008529C6">
            <w:pPr>
              <w:suppressAutoHyphens w:val="0"/>
              <w:jc w:val="center"/>
              <w:rPr>
                <w:rFonts w:ascii="Arial" w:hAnsi="Arial" w:cs="Arial"/>
                <w:sz w:val="20"/>
              </w:rPr>
            </w:pPr>
            <w:r w:rsidRPr="008529C6">
              <w:rPr>
                <w:rFonts w:ascii="Arial" w:hAnsi="Arial" w:cs="Arial"/>
                <w:sz w:val="20"/>
              </w:rPr>
              <w:t>Társaság tulajdonosi részesedése könyvszerinti értéken</w:t>
            </w:r>
          </w:p>
        </w:tc>
        <w:tc>
          <w:tcPr>
            <w:tcW w:w="1559" w:type="dxa"/>
            <w:tcBorders>
              <w:top w:val="single" w:sz="4" w:space="0" w:color="auto"/>
              <w:left w:val="nil"/>
              <w:bottom w:val="single" w:sz="4" w:space="0" w:color="auto"/>
              <w:right w:val="single" w:sz="4" w:space="0" w:color="auto"/>
            </w:tcBorders>
            <w:noWrap/>
            <w:vAlign w:val="center"/>
          </w:tcPr>
          <w:p w:rsidR="008529C6" w:rsidRPr="008529C6" w:rsidRDefault="008529C6" w:rsidP="008529C6">
            <w:pPr>
              <w:suppressAutoHyphens w:val="0"/>
              <w:jc w:val="center"/>
              <w:rPr>
                <w:rFonts w:ascii="Arial" w:hAnsi="Arial" w:cs="Arial"/>
                <w:sz w:val="20"/>
              </w:rPr>
            </w:pPr>
            <w:r w:rsidRPr="008529C6">
              <w:rPr>
                <w:rFonts w:ascii="Arial" w:hAnsi="Arial" w:cs="Arial"/>
                <w:sz w:val="20"/>
              </w:rPr>
              <w:t>Tulajdoni arány</w:t>
            </w:r>
          </w:p>
        </w:tc>
      </w:tr>
      <w:tr w:rsidR="008529C6" w:rsidRPr="008529C6" w:rsidTr="008529C6">
        <w:trPr>
          <w:trHeight w:val="257"/>
        </w:trPr>
        <w:tc>
          <w:tcPr>
            <w:tcW w:w="2694" w:type="dxa"/>
            <w:tcBorders>
              <w:top w:val="single" w:sz="4" w:space="0" w:color="auto"/>
              <w:left w:val="single" w:sz="4" w:space="0" w:color="auto"/>
              <w:bottom w:val="single" w:sz="4" w:space="0" w:color="auto"/>
              <w:right w:val="single" w:sz="4" w:space="0" w:color="auto"/>
            </w:tcBorders>
            <w:noWrap/>
            <w:vAlign w:val="bottom"/>
          </w:tcPr>
          <w:p w:rsidR="008529C6" w:rsidRPr="008529C6" w:rsidRDefault="008529C6" w:rsidP="008529C6">
            <w:pPr>
              <w:suppressAutoHyphens w:val="0"/>
              <w:rPr>
                <w:rFonts w:ascii="Arial" w:hAnsi="Arial" w:cs="Arial"/>
                <w:sz w:val="20"/>
              </w:rPr>
            </w:pPr>
            <w:r w:rsidRPr="008529C6">
              <w:rPr>
                <w:rFonts w:ascii="Arial" w:hAnsi="Arial" w:cs="Arial"/>
                <w:sz w:val="20"/>
              </w:rPr>
              <w:t>Köztisztasági Egyesülés</w:t>
            </w:r>
          </w:p>
        </w:tc>
        <w:tc>
          <w:tcPr>
            <w:tcW w:w="1984" w:type="dxa"/>
            <w:tcBorders>
              <w:top w:val="single" w:sz="4" w:space="0" w:color="auto"/>
              <w:left w:val="nil"/>
              <w:bottom w:val="single" w:sz="4" w:space="0" w:color="auto"/>
              <w:right w:val="single" w:sz="4" w:space="0" w:color="auto"/>
            </w:tcBorders>
            <w:noWrap/>
            <w:vAlign w:val="bottom"/>
          </w:tcPr>
          <w:p w:rsidR="008529C6" w:rsidRPr="008529C6" w:rsidRDefault="008529C6" w:rsidP="008529C6">
            <w:pPr>
              <w:suppressAutoHyphens w:val="0"/>
              <w:jc w:val="right"/>
              <w:rPr>
                <w:rFonts w:ascii="Arial" w:hAnsi="Arial" w:cs="Arial"/>
                <w:sz w:val="20"/>
              </w:rPr>
            </w:pPr>
            <w:r w:rsidRPr="008529C6">
              <w:rPr>
                <w:rFonts w:ascii="Arial" w:hAnsi="Arial" w:cs="Arial"/>
                <w:sz w:val="20"/>
              </w:rPr>
              <w:t xml:space="preserve">20 </w:t>
            </w:r>
          </w:p>
        </w:tc>
        <w:tc>
          <w:tcPr>
            <w:tcW w:w="1418" w:type="dxa"/>
            <w:tcBorders>
              <w:top w:val="single" w:sz="4" w:space="0" w:color="auto"/>
              <w:left w:val="nil"/>
              <w:bottom w:val="single" w:sz="4" w:space="0" w:color="auto"/>
              <w:right w:val="single" w:sz="4" w:space="0" w:color="auto"/>
            </w:tcBorders>
          </w:tcPr>
          <w:p w:rsidR="008529C6" w:rsidRPr="008529C6" w:rsidRDefault="008529C6" w:rsidP="008529C6">
            <w:pPr>
              <w:suppressAutoHyphens w:val="0"/>
              <w:jc w:val="righ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8529C6" w:rsidRPr="008529C6" w:rsidRDefault="008529C6" w:rsidP="008529C6">
            <w:pPr>
              <w:suppressAutoHyphens w:val="0"/>
              <w:jc w:val="right"/>
              <w:rPr>
                <w:rFonts w:ascii="Arial" w:hAnsi="Arial" w:cs="Arial"/>
                <w:sz w:val="20"/>
              </w:rPr>
            </w:pPr>
            <w:r w:rsidRPr="008529C6">
              <w:rPr>
                <w:rFonts w:ascii="Arial" w:hAnsi="Arial" w:cs="Arial"/>
                <w:sz w:val="20"/>
              </w:rPr>
              <w:t xml:space="preserve">20 </w:t>
            </w:r>
          </w:p>
        </w:tc>
        <w:tc>
          <w:tcPr>
            <w:tcW w:w="1559" w:type="dxa"/>
            <w:tcBorders>
              <w:top w:val="single" w:sz="4" w:space="0" w:color="auto"/>
              <w:left w:val="nil"/>
              <w:bottom w:val="single" w:sz="4" w:space="0" w:color="auto"/>
              <w:right w:val="single" w:sz="4" w:space="0" w:color="auto"/>
            </w:tcBorders>
            <w:noWrap/>
            <w:vAlign w:val="bottom"/>
          </w:tcPr>
          <w:p w:rsidR="008529C6" w:rsidRPr="008529C6" w:rsidRDefault="008529C6" w:rsidP="008529C6">
            <w:pPr>
              <w:suppressAutoHyphens w:val="0"/>
              <w:jc w:val="right"/>
              <w:rPr>
                <w:rFonts w:ascii="Arial" w:hAnsi="Arial" w:cs="Arial"/>
                <w:sz w:val="20"/>
              </w:rPr>
            </w:pPr>
            <w:r w:rsidRPr="008529C6">
              <w:rPr>
                <w:rFonts w:ascii="Arial" w:hAnsi="Arial" w:cs="Arial"/>
                <w:sz w:val="20"/>
              </w:rPr>
              <w:t>0,81%</w:t>
            </w:r>
          </w:p>
        </w:tc>
      </w:tr>
    </w:tbl>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 követelésekre a számviteli politika előírásainak megfelelően 9 758 E Ft követelések visszaírt értékvesztése, valamint 2 160 E Ft egyedi elszámolt értékvesztés visszavezetés került elszámolásra.</w:t>
      </w:r>
    </w:p>
    <w:p w:rsidR="008529C6" w:rsidRPr="008529C6" w:rsidRDefault="008529C6" w:rsidP="008529C6">
      <w:pPr>
        <w:suppressAutoHyphens w:val="0"/>
        <w:overflowPunct w:val="0"/>
        <w:autoSpaceDE w:val="0"/>
        <w:autoSpaceDN w:val="0"/>
        <w:adjustRightInd w:val="0"/>
        <w:jc w:val="both"/>
      </w:pPr>
      <w:r w:rsidRPr="008529C6">
        <w:rPr>
          <w:szCs w:val="24"/>
        </w:rPr>
        <w:t>Az értékvesztés nyitó értéke 18 324 E Ft, záró értéke 6 406 E Ft. Az értékvesztés a csoportos értékvesztés elszámolás alapján megképzett értékvesztés elszámolásból áll.</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Az egyéb követelések tartalma:</w:t>
      </w:r>
    </w:p>
    <w:p w:rsidR="008529C6" w:rsidRPr="008529C6" w:rsidRDefault="008529C6" w:rsidP="008529C6">
      <w:pPr>
        <w:suppressAutoHyphens w:val="0"/>
        <w:overflowPunct w:val="0"/>
        <w:autoSpaceDE w:val="0"/>
        <w:autoSpaceDN w:val="0"/>
        <w:adjustRightInd w:val="0"/>
        <w:jc w:val="both"/>
        <w:rPr>
          <w:szCs w:val="24"/>
        </w:rPr>
      </w:pP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t>E Ft</w:t>
      </w:r>
    </w:p>
    <w:p w:rsidR="008529C6" w:rsidRPr="008529C6" w:rsidRDefault="008529C6" w:rsidP="008529C6">
      <w:pPr>
        <w:suppressAutoHyphens w:val="0"/>
        <w:overflowPunct w:val="0"/>
        <w:autoSpaceDE w:val="0"/>
        <w:autoSpaceDN w:val="0"/>
        <w:adjustRightInd w:val="0"/>
        <w:jc w:val="center"/>
        <w:rPr>
          <w:b/>
          <w:szCs w:val="24"/>
        </w:rPr>
      </w:pPr>
      <w:r>
        <w:rPr>
          <w:noProof/>
          <w:szCs w:val="24"/>
        </w:rPr>
        <w:drawing>
          <wp:inline distT="0" distB="0" distL="0" distR="0">
            <wp:extent cx="3848100" cy="2278380"/>
            <wp:effectExtent l="0" t="0" r="0" b="762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2278380"/>
                    </a:xfrm>
                    <a:prstGeom prst="rect">
                      <a:avLst/>
                    </a:prstGeom>
                    <a:noFill/>
                    <a:ln>
                      <a:noFill/>
                    </a:ln>
                  </pic:spPr>
                </pic:pic>
              </a:graphicData>
            </a:graphic>
          </wp:inline>
        </w:drawing>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Az egyéb követelések tartalmaz egy éven belüli időtartamra a Törökszentmiklós Térségi Építő Szerelő és Szolgáltató Kft. (kapcsolt vállalkozás) részére nyújtott 5 00</w:t>
      </w:r>
      <w:r w:rsidR="00AE0682">
        <w:rPr>
          <w:szCs w:val="24"/>
        </w:rPr>
        <w:t>0 E Ft rövid lejáratú kölcsönt.</w:t>
      </w:r>
    </w:p>
    <w:p w:rsidR="008529C6" w:rsidRPr="008529C6" w:rsidRDefault="008529C6" w:rsidP="008529C6">
      <w:pPr>
        <w:suppressAutoHyphens w:val="0"/>
        <w:overflowPunct w:val="0"/>
        <w:autoSpaceDE w:val="0"/>
        <w:autoSpaceDN w:val="0"/>
        <w:adjustRightInd w:val="0"/>
        <w:jc w:val="both"/>
        <w:rPr>
          <w:szCs w:val="24"/>
        </w:rPr>
      </w:pPr>
      <w:r w:rsidRPr="008529C6">
        <w:rPr>
          <w:szCs w:val="24"/>
        </w:rPr>
        <w:t xml:space="preserve">A bevételek aktív időbeli elhatárolásai között a piaci bevételek tárgyhónapot követő elszámolása, valamint konténer bérleti díj elhatárolása szerepel. </w:t>
      </w:r>
    </w:p>
    <w:p w:rsidR="008529C6" w:rsidRPr="008529C6" w:rsidRDefault="008529C6" w:rsidP="008529C6">
      <w:pPr>
        <w:suppressAutoHyphens w:val="0"/>
        <w:overflowPunct w:val="0"/>
        <w:autoSpaceDE w:val="0"/>
        <w:autoSpaceDN w:val="0"/>
        <w:adjustRightInd w:val="0"/>
        <w:jc w:val="both"/>
        <w:rPr>
          <w:szCs w:val="24"/>
        </w:rPr>
      </w:pPr>
      <w:r w:rsidRPr="008529C6">
        <w:rPr>
          <w:szCs w:val="24"/>
        </w:rPr>
        <w:t>A bevételek aktív időbeli elhatárolásának összege 17 E Ft.</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 xml:space="preserve">A költségek aktív időbeli elhatárolása soron a tárgyévben, a következő évre kifizetett átalánydíjas informatikai szolgáltatás, tárhely díjak, Kemping Szövetség féléves tagdíja, a kemping védjegyhasználat féléves díja, valamint kötelező gépjármű- és egyéb biztosítások </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2020. évre jutó díját tüntetjük fel. A költségek aktív időbeli elhatárolásának tárgyévi összege 644 E Ft.</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pPr>
      <w:r w:rsidRPr="008529C6">
        <w:rPr>
          <w:szCs w:val="24"/>
        </w:rPr>
        <w:t>A saját tőke változása E Ft-ban:</w:t>
      </w:r>
    </w:p>
    <w:p w:rsidR="008529C6" w:rsidRPr="008529C6" w:rsidRDefault="008529C6" w:rsidP="008529C6">
      <w:pPr>
        <w:tabs>
          <w:tab w:val="left" w:pos="708"/>
          <w:tab w:val="center" w:pos="4536"/>
          <w:tab w:val="right" w:pos="9072"/>
        </w:tabs>
        <w:suppressAutoHyphens w:val="0"/>
        <w:overflowPunct w:val="0"/>
        <w:autoSpaceDE w:val="0"/>
        <w:autoSpaceDN w:val="0"/>
        <w:adjustRightInd w:val="0"/>
        <w:jc w:val="center"/>
      </w:pPr>
    </w:p>
    <w:p w:rsidR="008529C6" w:rsidRPr="008529C6" w:rsidRDefault="008529C6" w:rsidP="008529C6">
      <w:pPr>
        <w:suppressAutoHyphens w:val="0"/>
        <w:overflowPunct w:val="0"/>
        <w:autoSpaceDE w:val="0"/>
        <w:autoSpaceDN w:val="0"/>
        <w:adjustRightInd w:val="0"/>
        <w:jc w:val="center"/>
        <w:rPr>
          <w:szCs w:val="24"/>
        </w:rPr>
      </w:pPr>
      <w:r>
        <w:rPr>
          <w:noProof/>
          <w:szCs w:val="24"/>
        </w:rPr>
        <w:drawing>
          <wp:inline distT="0" distB="0" distL="0" distR="0">
            <wp:extent cx="5318760" cy="116586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8760" cy="1165860"/>
                    </a:xfrm>
                    <a:prstGeom prst="rect">
                      <a:avLst/>
                    </a:prstGeom>
                    <a:noFill/>
                    <a:ln>
                      <a:noFill/>
                    </a:ln>
                  </pic:spPr>
                </pic:pic>
              </a:graphicData>
            </a:graphic>
          </wp:inline>
        </w:drawing>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pPr>
      <w:r w:rsidRPr="008529C6">
        <w:rPr>
          <w:szCs w:val="24"/>
        </w:rPr>
        <w:t>A Törökszentmiklósi Kommunális Szolgáltató Nonprofit Kft-nek öt évnél hosszabb futamidejű kötelezettségei, zálogjoggal vagy egyéb joggal biztosított kötelezettségei nincsenek.</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pPr>
      <w:r w:rsidRPr="008529C6">
        <w:rPr>
          <w:szCs w:val="24"/>
        </w:rPr>
        <w:t>A Kft-nek hosszú lejáratú kötelezettségei nincsenek.</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pPr>
      <w:r w:rsidRPr="008529C6">
        <w:t>Az egyéb rövid lejáratú kötelezettségek az alábbiakban kerülnek bemutatásra:</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center"/>
      </w:pPr>
      <w:r w:rsidRPr="008529C6">
        <w:tab/>
      </w:r>
      <w:r w:rsidRPr="008529C6">
        <w:tab/>
      </w:r>
      <w:r w:rsidRPr="008529C6">
        <w:tab/>
      </w:r>
      <w:r w:rsidRPr="008529C6">
        <w:tab/>
      </w:r>
      <w:r w:rsidRPr="008529C6">
        <w:tab/>
      </w:r>
      <w:r w:rsidRPr="008529C6">
        <w:tab/>
      </w:r>
      <w:r w:rsidRPr="008529C6">
        <w:tab/>
      </w:r>
      <w:r w:rsidRPr="008529C6">
        <w:tab/>
      </w:r>
      <w:r w:rsidRPr="008529C6">
        <w:tab/>
        <w:t xml:space="preserve">       E Ft</w:t>
      </w:r>
    </w:p>
    <w:p w:rsidR="008529C6" w:rsidRPr="008529C6" w:rsidRDefault="008529C6" w:rsidP="008529C6">
      <w:pPr>
        <w:suppressAutoHyphens w:val="0"/>
        <w:overflowPunct w:val="0"/>
        <w:autoSpaceDE w:val="0"/>
        <w:autoSpaceDN w:val="0"/>
        <w:adjustRightInd w:val="0"/>
        <w:jc w:val="center"/>
        <w:rPr>
          <w:szCs w:val="24"/>
        </w:rPr>
      </w:pPr>
      <w:r>
        <w:rPr>
          <w:noProof/>
          <w:szCs w:val="24"/>
        </w:rPr>
        <w:drawing>
          <wp:inline distT="0" distB="0" distL="0" distR="0">
            <wp:extent cx="4800600" cy="211836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2118360"/>
                    </a:xfrm>
                    <a:prstGeom prst="rect">
                      <a:avLst/>
                    </a:prstGeom>
                    <a:noFill/>
                    <a:ln>
                      <a:noFill/>
                    </a:ln>
                  </pic:spPr>
                </pic:pic>
              </a:graphicData>
            </a:graphic>
          </wp:inline>
        </w:drawing>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 rövid lejáratú kötelezettségek között szerepel 8 170 E Ft átvállalt kötelezettség. A kötelezettség átvállalás a Törökszentmiklós Térségi Építő Szerelő és Szolgáltató Kft. 2019. évben befogadott 2017. és 2018. évre vonatkozó áramdíj számláinak összege.</w:t>
      </w:r>
    </w:p>
    <w:p w:rsidR="008529C6" w:rsidRPr="008529C6" w:rsidRDefault="008529C6" w:rsidP="008529C6">
      <w:pPr>
        <w:suppressAutoHyphens w:val="0"/>
        <w:overflowPunct w:val="0"/>
        <w:autoSpaceDE w:val="0"/>
        <w:autoSpaceDN w:val="0"/>
        <w:adjustRightInd w:val="0"/>
        <w:jc w:val="both"/>
        <w:rPr>
          <w:szCs w:val="24"/>
        </w:rPr>
      </w:pPr>
      <w:r w:rsidRPr="008529C6">
        <w:rPr>
          <w:szCs w:val="24"/>
        </w:rPr>
        <w:t>Az átvállalt kötelezettség 2020. évben teljesült, így a 2019. évben halasztott ráfordításként elhatárolásra került.</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 befolyt, elszámolt bevételek elhatárolása az előre kiszámlázott bérleti és kereskedelmi szolgáltatási díj 2019. december 31. utáni időszakra vonatkozó díjai, összesen 1 266 E Ft.</w:t>
      </w:r>
    </w:p>
    <w:p w:rsidR="008529C6" w:rsidRPr="008529C6" w:rsidRDefault="008529C6" w:rsidP="008529C6">
      <w:pPr>
        <w:suppressAutoHyphens w:val="0"/>
        <w:overflowPunct w:val="0"/>
        <w:autoSpaceDE w:val="0"/>
        <w:autoSpaceDN w:val="0"/>
        <w:adjustRightInd w:val="0"/>
        <w:jc w:val="both"/>
        <w:rPr>
          <w:szCs w:val="24"/>
        </w:rPr>
      </w:pPr>
      <w:r w:rsidRPr="008529C6">
        <w:rPr>
          <w:szCs w:val="24"/>
        </w:rPr>
        <w:t xml:space="preserve">A költségek passzív időbeli elhatárolása között a tárgyévet követően beérkezett, tárgyévet terhelő víz-, csatornadíjak, gázdíjak, telefondíjak, tárgyévet követően utólagosan elszámolt táppénz hozzájárulás, egyéb személyi jellegű kifizetések, a tárgyévet követően a 2019. IV. negyedévre bevallott és megfizetett vízhasználati díj, valamint az NHKV ZRT. felé utólagosan 2019. évre többlet szolgáltatásként nyújtott zöldhulladék gyűjtéséhez biztosított zsákok szerepelnek, összesen 5 254 E Ft összegben. </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 tárgyévi eszköz-forrás tételek a mérleg főösszeghez viszonyított százalékos összetételét az alábbi táblázat mutatja:</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center"/>
        <w:rPr>
          <w:szCs w:val="24"/>
        </w:rPr>
      </w:pPr>
      <w:r>
        <w:rPr>
          <w:noProof/>
          <w:szCs w:val="24"/>
        </w:rPr>
        <w:drawing>
          <wp:inline distT="0" distB="0" distL="0" distR="0">
            <wp:extent cx="5318760" cy="17907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8760" cy="1790700"/>
                    </a:xfrm>
                    <a:prstGeom prst="rect">
                      <a:avLst/>
                    </a:prstGeom>
                    <a:noFill/>
                    <a:ln>
                      <a:noFill/>
                    </a:ln>
                  </pic:spPr>
                </pic:pic>
              </a:graphicData>
            </a:graphic>
          </wp:inline>
        </w:drawing>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pPr>
      <w:r w:rsidRPr="008529C6">
        <w:rPr>
          <w:szCs w:val="24"/>
        </w:rPr>
        <w:t>2.2. Eredmény-kimutatáshoz kapcsolódó kiegészítések:</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Az árbevétel főbb tevékenységenké</w:t>
      </w:r>
      <w:r w:rsidR="00AE0682">
        <w:rPr>
          <w:szCs w:val="24"/>
        </w:rPr>
        <w:t>nti megosztása a következő:</w:t>
      </w:r>
      <w:r w:rsidR="00AE0682">
        <w:rPr>
          <w:szCs w:val="24"/>
        </w:rPr>
        <w:tab/>
      </w:r>
      <w:r w:rsidR="00AE0682">
        <w:rPr>
          <w:szCs w:val="24"/>
        </w:rPr>
        <w:tab/>
      </w:r>
      <w:r w:rsidR="00AE0682">
        <w:rPr>
          <w:szCs w:val="24"/>
        </w:rPr>
        <w:tab/>
      </w:r>
      <w:r w:rsidR="00AE0682">
        <w:rPr>
          <w:szCs w:val="24"/>
        </w:rPr>
        <w:tab/>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t xml:space="preserve">        E Ft</w:t>
      </w:r>
    </w:p>
    <w:p w:rsidR="008529C6" w:rsidRPr="008529C6" w:rsidRDefault="008529C6" w:rsidP="008529C6">
      <w:pPr>
        <w:suppressAutoHyphens w:val="0"/>
        <w:overflowPunct w:val="0"/>
        <w:autoSpaceDE w:val="0"/>
        <w:autoSpaceDN w:val="0"/>
        <w:adjustRightInd w:val="0"/>
        <w:jc w:val="center"/>
        <w:rPr>
          <w:szCs w:val="24"/>
        </w:rPr>
      </w:pPr>
      <w:r>
        <w:rPr>
          <w:noProof/>
          <w:szCs w:val="24"/>
        </w:rPr>
        <w:drawing>
          <wp:inline distT="0" distB="0" distL="0" distR="0">
            <wp:extent cx="5318760" cy="18288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8760" cy="1828800"/>
                    </a:xfrm>
                    <a:prstGeom prst="rect">
                      <a:avLst/>
                    </a:prstGeom>
                    <a:noFill/>
                    <a:ln>
                      <a:noFill/>
                    </a:ln>
                  </pic:spPr>
                </pic:pic>
              </a:graphicData>
            </a:graphic>
          </wp:inline>
        </w:drawing>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 xml:space="preserve">Az egyéb bevételek az alábbi tételekből állnak: </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t xml:space="preserve">                            E Ft</w:t>
      </w:r>
    </w:p>
    <w:tbl>
      <w:tblPr>
        <w:tblW w:w="0" w:type="auto"/>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5"/>
        <w:gridCol w:w="1418"/>
        <w:gridCol w:w="1529"/>
      </w:tblGrid>
      <w:tr w:rsidR="008529C6" w:rsidRPr="008529C6" w:rsidTr="008529C6">
        <w:tblPrEx>
          <w:tblCellMar>
            <w:top w:w="0" w:type="dxa"/>
            <w:bottom w:w="0" w:type="dxa"/>
          </w:tblCellMar>
        </w:tblPrEx>
        <w:trPr>
          <w:jc w:val="center"/>
        </w:trPr>
        <w:tc>
          <w:tcPr>
            <w:tcW w:w="6865" w:type="dxa"/>
          </w:tcPr>
          <w:p w:rsidR="008529C6" w:rsidRPr="008529C6" w:rsidRDefault="008529C6" w:rsidP="008529C6">
            <w:pPr>
              <w:suppressAutoHyphens w:val="0"/>
              <w:overflowPunct w:val="0"/>
              <w:autoSpaceDE w:val="0"/>
              <w:autoSpaceDN w:val="0"/>
              <w:adjustRightInd w:val="0"/>
              <w:jc w:val="both"/>
              <w:rPr>
                <w:szCs w:val="24"/>
              </w:rPr>
            </w:pP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Előző év</w:t>
            </w:r>
          </w:p>
        </w:tc>
        <w:tc>
          <w:tcPr>
            <w:tcW w:w="1529"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Tárgyév</w:t>
            </w:r>
          </w:p>
        </w:tc>
      </w:tr>
      <w:tr w:rsidR="008529C6" w:rsidRPr="008529C6" w:rsidTr="008529C6">
        <w:tblPrEx>
          <w:tblCellMar>
            <w:top w:w="0" w:type="dxa"/>
            <w:bottom w:w="0" w:type="dxa"/>
          </w:tblCellMar>
        </w:tblPrEx>
        <w:trPr>
          <w:jc w:val="center"/>
        </w:trPr>
        <w:tc>
          <w:tcPr>
            <w:tcW w:w="6865"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Értékesített immateriális javak, tárgyi eszközök</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 xml:space="preserve">               156</w:t>
            </w:r>
          </w:p>
        </w:tc>
        <w:tc>
          <w:tcPr>
            <w:tcW w:w="1529"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 xml:space="preserve">            74</w:t>
            </w:r>
          </w:p>
        </w:tc>
      </w:tr>
      <w:tr w:rsidR="008529C6" w:rsidRPr="008529C6" w:rsidTr="008529C6">
        <w:tblPrEx>
          <w:tblCellMar>
            <w:top w:w="0" w:type="dxa"/>
            <w:bottom w:w="0" w:type="dxa"/>
          </w:tblCellMar>
        </w:tblPrEx>
        <w:trPr>
          <w:jc w:val="center"/>
        </w:trPr>
        <w:tc>
          <w:tcPr>
            <w:tcW w:w="6865"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Káreseményekkel kapcsolatosan kapott bevétel</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277</w:t>
            </w:r>
          </w:p>
        </w:tc>
        <w:tc>
          <w:tcPr>
            <w:tcW w:w="1529" w:type="dxa"/>
          </w:tcPr>
          <w:p w:rsidR="008529C6" w:rsidRPr="008529C6" w:rsidRDefault="008529C6" w:rsidP="008529C6">
            <w:pPr>
              <w:suppressAutoHyphens w:val="0"/>
              <w:overflowPunct w:val="0"/>
              <w:autoSpaceDE w:val="0"/>
              <w:autoSpaceDN w:val="0"/>
              <w:adjustRightInd w:val="0"/>
              <w:jc w:val="center"/>
              <w:rPr>
                <w:szCs w:val="24"/>
              </w:rPr>
            </w:pPr>
            <w:r w:rsidRPr="008529C6">
              <w:rPr>
                <w:szCs w:val="24"/>
              </w:rPr>
              <w:t xml:space="preserve">                     0</w:t>
            </w:r>
          </w:p>
        </w:tc>
      </w:tr>
      <w:tr w:rsidR="008529C6" w:rsidRPr="008529C6" w:rsidTr="008529C6">
        <w:tblPrEx>
          <w:tblCellMar>
            <w:top w:w="0" w:type="dxa"/>
            <w:bottom w:w="0" w:type="dxa"/>
          </w:tblCellMar>
        </w:tblPrEx>
        <w:trPr>
          <w:jc w:val="center"/>
        </w:trPr>
        <w:tc>
          <w:tcPr>
            <w:tcW w:w="6865"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Kapott késedelmi kamatok, költségtérítések</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384</w:t>
            </w:r>
          </w:p>
        </w:tc>
        <w:tc>
          <w:tcPr>
            <w:tcW w:w="1529"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202</w:t>
            </w:r>
          </w:p>
        </w:tc>
      </w:tr>
      <w:tr w:rsidR="008529C6" w:rsidRPr="008529C6" w:rsidTr="008529C6">
        <w:tblPrEx>
          <w:tblCellMar>
            <w:top w:w="0" w:type="dxa"/>
            <w:bottom w:w="0" w:type="dxa"/>
          </w:tblCellMar>
        </w:tblPrEx>
        <w:trPr>
          <w:jc w:val="center"/>
        </w:trPr>
        <w:tc>
          <w:tcPr>
            <w:tcW w:w="6865"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Behajthatatlannak minősített és leírt követelésre kapott összeg</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36</w:t>
            </w:r>
          </w:p>
        </w:tc>
        <w:tc>
          <w:tcPr>
            <w:tcW w:w="1529"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133</w:t>
            </w:r>
          </w:p>
        </w:tc>
      </w:tr>
      <w:tr w:rsidR="008529C6" w:rsidRPr="008529C6" w:rsidTr="008529C6">
        <w:tblPrEx>
          <w:tblCellMar>
            <w:top w:w="0" w:type="dxa"/>
            <w:bottom w:w="0" w:type="dxa"/>
          </w:tblCellMar>
        </w:tblPrEx>
        <w:trPr>
          <w:jc w:val="center"/>
        </w:trPr>
        <w:tc>
          <w:tcPr>
            <w:tcW w:w="6865"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Költségek, ráfordítások ellentételezésére kapott támogatás</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 xml:space="preserve"> 0</w:t>
            </w:r>
          </w:p>
        </w:tc>
        <w:tc>
          <w:tcPr>
            <w:tcW w:w="1529"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 xml:space="preserve"> 956</w:t>
            </w:r>
          </w:p>
        </w:tc>
      </w:tr>
      <w:tr w:rsidR="008529C6" w:rsidRPr="008529C6" w:rsidTr="008529C6">
        <w:tblPrEx>
          <w:tblCellMar>
            <w:top w:w="0" w:type="dxa"/>
            <w:bottom w:w="0" w:type="dxa"/>
          </w:tblCellMar>
        </w:tblPrEx>
        <w:trPr>
          <w:jc w:val="center"/>
        </w:trPr>
        <w:tc>
          <w:tcPr>
            <w:tcW w:w="6865"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Halasztott bevételek visszaírása</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5 428</w:t>
            </w:r>
          </w:p>
        </w:tc>
        <w:tc>
          <w:tcPr>
            <w:tcW w:w="1529"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5 548</w:t>
            </w:r>
          </w:p>
        </w:tc>
      </w:tr>
      <w:tr w:rsidR="008529C6" w:rsidRPr="008529C6" w:rsidTr="008529C6">
        <w:tblPrEx>
          <w:tblCellMar>
            <w:top w:w="0" w:type="dxa"/>
            <w:bottom w:w="0" w:type="dxa"/>
          </w:tblCellMar>
        </w:tblPrEx>
        <w:trPr>
          <w:jc w:val="center"/>
        </w:trPr>
        <w:tc>
          <w:tcPr>
            <w:tcW w:w="6865"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Követelések visszaírt értékvesztése</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6 793</w:t>
            </w:r>
          </w:p>
        </w:tc>
        <w:tc>
          <w:tcPr>
            <w:tcW w:w="1529"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9 758</w:t>
            </w:r>
          </w:p>
        </w:tc>
      </w:tr>
      <w:tr w:rsidR="008529C6" w:rsidRPr="008529C6" w:rsidTr="008529C6">
        <w:tblPrEx>
          <w:tblCellMar>
            <w:top w:w="0" w:type="dxa"/>
            <w:bottom w:w="0" w:type="dxa"/>
          </w:tblCellMar>
        </w:tblPrEx>
        <w:trPr>
          <w:jc w:val="center"/>
        </w:trPr>
        <w:tc>
          <w:tcPr>
            <w:tcW w:w="6865"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Egyedi elszámolású értékvesztés visszavezetés</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 xml:space="preserve"> 0</w:t>
            </w:r>
          </w:p>
        </w:tc>
        <w:tc>
          <w:tcPr>
            <w:tcW w:w="1529"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 xml:space="preserve"> 2 160</w:t>
            </w:r>
          </w:p>
        </w:tc>
      </w:tr>
      <w:tr w:rsidR="008529C6" w:rsidRPr="008529C6" w:rsidTr="008529C6">
        <w:tblPrEx>
          <w:tblCellMar>
            <w:top w:w="0" w:type="dxa"/>
            <w:bottom w:w="0" w:type="dxa"/>
          </w:tblCellMar>
        </w:tblPrEx>
        <w:trPr>
          <w:jc w:val="center"/>
        </w:trPr>
        <w:tc>
          <w:tcPr>
            <w:tcW w:w="6865"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Egyéb</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126</w:t>
            </w:r>
          </w:p>
        </w:tc>
        <w:tc>
          <w:tcPr>
            <w:tcW w:w="1529"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227</w:t>
            </w:r>
          </w:p>
        </w:tc>
      </w:tr>
      <w:tr w:rsidR="008529C6" w:rsidRPr="008529C6" w:rsidTr="008529C6">
        <w:tblPrEx>
          <w:tblCellMar>
            <w:top w:w="0" w:type="dxa"/>
            <w:bottom w:w="0" w:type="dxa"/>
          </w:tblCellMar>
        </w:tblPrEx>
        <w:trPr>
          <w:jc w:val="center"/>
        </w:trPr>
        <w:tc>
          <w:tcPr>
            <w:tcW w:w="6865" w:type="dxa"/>
          </w:tcPr>
          <w:p w:rsidR="008529C6" w:rsidRPr="008529C6" w:rsidRDefault="008529C6" w:rsidP="008529C6">
            <w:pPr>
              <w:suppressAutoHyphens w:val="0"/>
              <w:overflowPunct w:val="0"/>
              <w:autoSpaceDE w:val="0"/>
              <w:autoSpaceDN w:val="0"/>
              <w:adjustRightInd w:val="0"/>
              <w:jc w:val="both"/>
              <w:rPr>
                <w:b/>
                <w:bCs/>
                <w:szCs w:val="24"/>
              </w:rPr>
            </w:pPr>
            <w:r w:rsidRPr="008529C6">
              <w:rPr>
                <w:b/>
                <w:bCs/>
                <w:szCs w:val="24"/>
              </w:rPr>
              <w:t>Összesen</w:t>
            </w:r>
          </w:p>
        </w:tc>
        <w:tc>
          <w:tcPr>
            <w:tcW w:w="1418" w:type="dxa"/>
          </w:tcPr>
          <w:p w:rsidR="008529C6" w:rsidRPr="008529C6" w:rsidRDefault="008529C6" w:rsidP="008529C6">
            <w:pPr>
              <w:suppressAutoHyphens w:val="0"/>
              <w:overflowPunct w:val="0"/>
              <w:autoSpaceDE w:val="0"/>
              <w:autoSpaceDN w:val="0"/>
              <w:adjustRightInd w:val="0"/>
              <w:jc w:val="right"/>
              <w:rPr>
                <w:b/>
                <w:bCs/>
                <w:szCs w:val="24"/>
              </w:rPr>
            </w:pPr>
            <w:r w:rsidRPr="008529C6">
              <w:rPr>
                <w:b/>
                <w:bCs/>
                <w:szCs w:val="24"/>
              </w:rPr>
              <w:t>13 200</w:t>
            </w:r>
          </w:p>
        </w:tc>
        <w:tc>
          <w:tcPr>
            <w:tcW w:w="1529" w:type="dxa"/>
          </w:tcPr>
          <w:p w:rsidR="008529C6" w:rsidRPr="008529C6" w:rsidRDefault="008529C6" w:rsidP="008529C6">
            <w:pPr>
              <w:suppressAutoHyphens w:val="0"/>
              <w:overflowPunct w:val="0"/>
              <w:autoSpaceDE w:val="0"/>
              <w:autoSpaceDN w:val="0"/>
              <w:adjustRightInd w:val="0"/>
              <w:jc w:val="right"/>
              <w:rPr>
                <w:b/>
                <w:bCs/>
                <w:szCs w:val="24"/>
              </w:rPr>
            </w:pPr>
            <w:r w:rsidRPr="008529C6">
              <w:rPr>
                <w:b/>
                <w:bCs/>
                <w:szCs w:val="24"/>
              </w:rPr>
              <w:t>19 058</w:t>
            </w:r>
          </w:p>
        </w:tc>
      </w:tr>
    </w:tbl>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tabs>
          <w:tab w:val="left" w:pos="2145"/>
        </w:tabs>
        <w:suppressAutoHyphens w:val="0"/>
        <w:overflowPunct w:val="0"/>
        <w:autoSpaceDE w:val="0"/>
        <w:autoSpaceDN w:val="0"/>
        <w:adjustRightInd w:val="0"/>
        <w:jc w:val="both"/>
        <w:rPr>
          <w:szCs w:val="24"/>
        </w:rPr>
      </w:pPr>
    </w:p>
    <w:p w:rsidR="008529C6" w:rsidRPr="008529C6" w:rsidRDefault="008529C6" w:rsidP="008529C6">
      <w:pPr>
        <w:tabs>
          <w:tab w:val="left" w:pos="2145"/>
        </w:tabs>
        <w:suppressAutoHyphens w:val="0"/>
        <w:overflowPunct w:val="0"/>
        <w:autoSpaceDE w:val="0"/>
        <w:autoSpaceDN w:val="0"/>
        <w:adjustRightInd w:val="0"/>
        <w:jc w:val="both"/>
        <w:rPr>
          <w:szCs w:val="24"/>
        </w:rPr>
      </w:pPr>
      <w:r w:rsidRPr="008529C6">
        <w:rPr>
          <w:szCs w:val="24"/>
        </w:rPr>
        <w:t>A támogatásokból beszerzett eszközök elszámolt értékcsökkenéséhez kapcsolódik a halasztott bevételek visszaírása.</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Az egyéb ráfordítások az alábbi tételekből állnak:</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r>
      <w:r w:rsidRPr="008529C6">
        <w:rPr>
          <w:szCs w:val="24"/>
        </w:rPr>
        <w:tab/>
        <w:t xml:space="preserve">                            E Ft</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6"/>
        <w:gridCol w:w="1418"/>
        <w:gridCol w:w="1276"/>
      </w:tblGrid>
      <w:tr w:rsidR="008529C6" w:rsidRPr="008529C6" w:rsidTr="008529C6">
        <w:tblPrEx>
          <w:tblCellMar>
            <w:top w:w="0" w:type="dxa"/>
            <w:bottom w:w="0" w:type="dxa"/>
          </w:tblCellMar>
        </w:tblPrEx>
        <w:tc>
          <w:tcPr>
            <w:tcW w:w="6946" w:type="dxa"/>
          </w:tcPr>
          <w:p w:rsidR="008529C6" w:rsidRPr="008529C6" w:rsidRDefault="008529C6" w:rsidP="008529C6">
            <w:pPr>
              <w:suppressAutoHyphens w:val="0"/>
              <w:overflowPunct w:val="0"/>
              <w:autoSpaceDE w:val="0"/>
              <w:autoSpaceDN w:val="0"/>
              <w:adjustRightInd w:val="0"/>
              <w:jc w:val="both"/>
              <w:rPr>
                <w:szCs w:val="24"/>
              </w:rPr>
            </w:pPr>
          </w:p>
        </w:tc>
        <w:tc>
          <w:tcPr>
            <w:tcW w:w="1418" w:type="dxa"/>
          </w:tcPr>
          <w:p w:rsidR="008529C6" w:rsidRPr="008529C6" w:rsidRDefault="008529C6" w:rsidP="008529C6">
            <w:pPr>
              <w:suppressAutoHyphens w:val="0"/>
              <w:overflowPunct w:val="0"/>
              <w:autoSpaceDE w:val="0"/>
              <w:autoSpaceDN w:val="0"/>
              <w:adjustRightInd w:val="0"/>
              <w:jc w:val="center"/>
              <w:rPr>
                <w:szCs w:val="24"/>
              </w:rPr>
            </w:pPr>
            <w:r w:rsidRPr="008529C6">
              <w:rPr>
                <w:szCs w:val="24"/>
              </w:rPr>
              <w:t xml:space="preserve">       Előző év</w:t>
            </w:r>
          </w:p>
        </w:tc>
        <w:tc>
          <w:tcPr>
            <w:tcW w:w="1276" w:type="dxa"/>
          </w:tcPr>
          <w:p w:rsidR="008529C6" w:rsidRPr="008529C6" w:rsidRDefault="008529C6" w:rsidP="008529C6">
            <w:pPr>
              <w:suppressAutoHyphens w:val="0"/>
              <w:overflowPunct w:val="0"/>
              <w:autoSpaceDE w:val="0"/>
              <w:autoSpaceDN w:val="0"/>
              <w:adjustRightInd w:val="0"/>
              <w:jc w:val="center"/>
              <w:rPr>
                <w:szCs w:val="24"/>
              </w:rPr>
            </w:pPr>
            <w:r w:rsidRPr="008529C6">
              <w:rPr>
                <w:szCs w:val="24"/>
              </w:rPr>
              <w:t xml:space="preserve">     Tárgyév</w:t>
            </w:r>
          </w:p>
        </w:tc>
      </w:tr>
      <w:tr w:rsidR="008529C6" w:rsidRPr="008529C6" w:rsidTr="008529C6">
        <w:tblPrEx>
          <w:tblCellMar>
            <w:top w:w="0" w:type="dxa"/>
            <w:bottom w:w="0" w:type="dxa"/>
          </w:tblCellMar>
        </w:tblPrEx>
        <w:tc>
          <w:tcPr>
            <w:tcW w:w="6946"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Káreseményekkel kapcsolatos fizetések</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22</w:t>
            </w:r>
          </w:p>
        </w:tc>
        <w:tc>
          <w:tcPr>
            <w:tcW w:w="1276"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448</w:t>
            </w:r>
          </w:p>
        </w:tc>
      </w:tr>
      <w:tr w:rsidR="008529C6" w:rsidRPr="008529C6" w:rsidTr="008529C6">
        <w:tblPrEx>
          <w:tblCellMar>
            <w:top w:w="0" w:type="dxa"/>
            <w:bottom w:w="0" w:type="dxa"/>
          </w:tblCellMar>
        </w:tblPrEx>
        <w:tc>
          <w:tcPr>
            <w:tcW w:w="6946"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Fizetett bírság, késedelmi kamat</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59</w:t>
            </w:r>
          </w:p>
        </w:tc>
        <w:tc>
          <w:tcPr>
            <w:tcW w:w="1276"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233</w:t>
            </w:r>
          </w:p>
        </w:tc>
      </w:tr>
      <w:tr w:rsidR="008529C6" w:rsidRPr="008529C6" w:rsidTr="008529C6">
        <w:tblPrEx>
          <w:tblCellMar>
            <w:top w:w="0" w:type="dxa"/>
            <w:bottom w:w="0" w:type="dxa"/>
          </w:tblCellMar>
        </w:tblPrEx>
        <w:tc>
          <w:tcPr>
            <w:tcW w:w="6946"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Egyéb</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23</w:t>
            </w:r>
          </w:p>
        </w:tc>
        <w:tc>
          <w:tcPr>
            <w:tcW w:w="1276"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10</w:t>
            </w:r>
          </w:p>
        </w:tc>
      </w:tr>
      <w:tr w:rsidR="008529C6" w:rsidRPr="008529C6" w:rsidTr="008529C6">
        <w:tblPrEx>
          <w:tblCellMar>
            <w:top w:w="0" w:type="dxa"/>
            <w:bottom w:w="0" w:type="dxa"/>
          </w:tblCellMar>
        </w:tblPrEx>
        <w:tc>
          <w:tcPr>
            <w:tcW w:w="6946"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Arányosított, le nem vonható ÁFA</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3</w:t>
            </w:r>
          </w:p>
        </w:tc>
        <w:tc>
          <w:tcPr>
            <w:tcW w:w="1276"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2</w:t>
            </w:r>
          </w:p>
        </w:tc>
      </w:tr>
      <w:tr w:rsidR="008529C6" w:rsidRPr="008529C6" w:rsidTr="008529C6">
        <w:tblPrEx>
          <w:tblCellMar>
            <w:top w:w="0" w:type="dxa"/>
            <w:bottom w:w="0" w:type="dxa"/>
          </w:tblCellMar>
        </w:tblPrEx>
        <w:tc>
          <w:tcPr>
            <w:tcW w:w="6946"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Adók, illetékek, hozzájárulások</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7 570</w:t>
            </w:r>
          </w:p>
        </w:tc>
        <w:tc>
          <w:tcPr>
            <w:tcW w:w="1276"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9 673</w:t>
            </w:r>
          </w:p>
        </w:tc>
      </w:tr>
      <w:tr w:rsidR="008529C6" w:rsidRPr="008529C6" w:rsidTr="008529C6">
        <w:tblPrEx>
          <w:tblCellMar>
            <w:top w:w="0" w:type="dxa"/>
            <w:bottom w:w="0" w:type="dxa"/>
          </w:tblCellMar>
        </w:tblPrEx>
        <w:tc>
          <w:tcPr>
            <w:tcW w:w="6946"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Követelések elszámolt értékvesztése</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2 160</w:t>
            </w:r>
          </w:p>
        </w:tc>
        <w:tc>
          <w:tcPr>
            <w:tcW w:w="1276"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0</w:t>
            </w:r>
          </w:p>
        </w:tc>
      </w:tr>
      <w:tr w:rsidR="008529C6" w:rsidRPr="008529C6" w:rsidTr="008529C6">
        <w:tblPrEx>
          <w:tblCellMar>
            <w:top w:w="0" w:type="dxa"/>
            <w:bottom w:w="0" w:type="dxa"/>
          </w:tblCellMar>
        </w:tblPrEx>
        <w:tc>
          <w:tcPr>
            <w:tcW w:w="6946"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Behajthatatlan követelés</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7 079</w:t>
            </w:r>
          </w:p>
        </w:tc>
        <w:tc>
          <w:tcPr>
            <w:tcW w:w="1276" w:type="dxa"/>
          </w:tcPr>
          <w:p w:rsidR="008529C6" w:rsidRPr="008529C6" w:rsidRDefault="008529C6" w:rsidP="008529C6">
            <w:pPr>
              <w:suppressAutoHyphens w:val="0"/>
              <w:overflowPunct w:val="0"/>
              <w:autoSpaceDE w:val="0"/>
              <w:autoSpaceDN w:val="0"/>
              <w:adjustRightInd w:val="0"/>
              <w:jc w:val="center"/>
              <w:rPr>
                <w:szCs w:val="24"/>
              </w:rPr>
            </w:pPr>
            <w:r w:rsidRPr="008529C6">
              <w:rPr>
                <w:szCs w:val="24"/>
              </w:rPr>
              <w:t xml:space="preserve">         9 896</w:t>
            </w:r>
          </w:p>
        </w:tc>
      </w:tr>
      <w:tr w:rsidR="008529C6" w:rsidRPr="008529C6" w:rsidTr="008529C6">
        <w:tblPrEx>
          <w:tblCellMar>
            <w:top w:w="0" w:type="dxa"/>
            <w:bottom w:w="0" w:type="dxa"/>
          </w:tblCellMar>
        </w:tblPrEx>
        <w:tc>
          <w:tcPr>
            <w:tcW w:w="6946" w:type="dxa"/>
          </w:tcPr>
          <w:p w:rsidR="008529C6" w:rsidRPr="008529C6" w:rsidRDefault="008529C6" w:rsidP="008529C6">
            <w:pPr>
              <w:suppressAutoHyphens w:val="0"/>
              <w:overflowPunct w:val="0"/>
              <w:autoSpaceDE w:val="0"/>
              <w:autoSpaceDN w:val="0"/>
              <w:adjustRightInd w:val="0"/>
              <w:jc w:val="both"/>
              <w:rPr>
                <w:szCs w:val="24"/>
              </w:rPr>
            </w:pPr>
            <w:r w:rsidRPr="008529C6">
              <w:rPr>
                <w:szCs w:val="24"/>
              </w:rPr>
              <w:t>Hiányzó, megsemmisített, állományból kivezetett készlet</w:t>
            </w:r>
          </w:p>
        </w:tc>
        <w:tc>
          <w:tcPr>
            <w:tcW w:w="1418"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808</w:t>
            </w:r>
          </w:p>
        </w:tc>
        <w:tc>
          <w:tcPr>
            <w:tcW w:w="1276" w:type="dxa"/>
          </w:tcPr>
          <w:p w:rsidR="008529C6" w:rsidRPr="008529C6" w:rsidRDefault="008529C6" w:rsidP="008529C6">
            <w:pPr>
              <w:suppressAutoHyphens w:val="0"/>
              <w:overflowPunct w:val="0"/>
              <w:autoSpaceDE w:val="0"/>
              <w:autoSpaceDN w:val="0"/>
              <w:adjustRightInd w:val="0"/>
              <w:jc w:val="right"/>
              <w:rPr>
                <w:szCs w:val="24"/>
              </w:rPr>
            </w:pPr>
            <w:r w:rsidRPr="008529C6">
              <w:rPr>
                <w:szCs w:val="24"/>
              </w:rPr>
              <w:t>662</w:t>
            </w:r>
          </w:p>
        </w:tc>
      </w:tr>
      <w:tr w:rsidR="008529C6" w:rsidRPr="008529C6" w:rsidTr="008529C6">
        <w:tblPrEx>
          <w:tblCellMar>
            <w:top w:w="0" w:type="dxa"/>
            <w:bottom w:w="0" w:type="dxa"/>
          </w:tblCellMar>
        </w:tblPrEx>
        <w:tc>
          <w:tcPr>
            <w:tcW w:w="6946" w:type="dxa"/>
          </w:tcPr>
          <w:p w:rsidR="008529C6" w:rsidRPr="008529C6" w:rsidRDefault="008529C6" w:rsidP="008529C6">
            <w:pPr>
              <w:suppressAutoHyphens w:val="0"/>
              <w:overflowPunct w:val="0"/>
              <w:autoSpaceDE w:val="0"/>
              <w:autoSpaceDN w:val="0"/>
              <w:adjustRightInd w:val="0"/>
              <w:jc w:val="both"/>
              <w:rPr>
                <w:bCs/>
                <w:szCs w:val="24"/>
              </w:rPr>
            </w:pPr>
            <w:r w:rsidRPr="008529C6">
              <w:rPr>
                <w:bCs/>
                <w:szCs w:val="24"/>
              </w:rPr>
              <w:t>Visszafizetési kötelezettség nélkül nyújtott támogatás</w:t>
            </w:r>
          </w:p>
        </w:tc>
        <w:tc>
          <w:tcPr>
            <w:tcW w:w="1418" w:type="dxa"/>
          </w:tcPr>
          <w:p w:rsidR="008529C6" w:rsidRPr="008529C6" w:rsidRDefault="008529C6" w:rsidP="008529C6">
            <w:pPr>
              <w:suppressAutoHyphens w:val="0"/>
              <w:overflowPunct w:val="0"/>
              <w:autoSpaceDE w:val="0"/>
              <w:autoSpaceDN w:val="0"/>
              <w:adjustRightInd w:val="0"/>
              <w:jc w:val="right"/>
              <w:rPr>
                <w:bCs/>
                <w:szCs w:val="24"/>
              </w:rPr>
            </w:pPr>
            <w:r w:rsidRPr="008529C6">
              <w:rPr>
                <w:bCs/>
                <w:szCs w:val="24"/>
              </w:rPr>
              <w:t>80</w:t>
            </w:r>
          </w:p>
        </w:tc>
        <w:tc>
          <w:tcPr>
            <w:tcW w:w="1276" w:type="dxa"/>
          </w:tcPr>
          <w:p w:rsidR="008529C6" w:rsidRPr="008529C6" w:rsidRDefault="008529C6" w:rsidP="008529C6">
            <w:pPr>
              <w:suppressAutoHyphens w:val="0"/>
              <w:overflowPunct w:val="0"/>
              <w:autoSpaceDE w:val="0"/>
              <w:autoSpaceDN w:val="0"/>
              <w:adjustRightInd w:val="0"/>
              <w:jc w:val="right"/>
              <w:rPr>
                <w:bCs/>
                <w:szCs w:val="24"/>
              </w:rPr>
            </w:pPr>
            <w:r w:rsidRPr="008529C6">
              <w:rPr>
                <w:bCs/>
                <w:szCs w:val="24"/>
              </w:rPr>
              <w:t>85</w:t>
            </w:r>
          </w:p>
        </w:tc>
      </w:tr>
      <w:tr w:rsidR="008529C6" w:rsidRPr="008529C6" w:rsidTr="008529C6">
        <w:tblPrEx>
          <w:tblCellMar>
            <w:top w:w="0" w:type="dxa"/>
            <w:bottom w:w="0" w:type="dxa"/>
          </w:tblCellMar>
        </w:tblPrEx>
        <w:tc>
          <w:tcPr>
            <w:tcW w:w="6946" w:type="dxa"/>
          </w:tcPr>
          <w:p w:rsidR="008529C6" w:rsidRPr="008529C6" w:rsidRDefault="008529C6" w:rsidP="008529C6">
            <w:pPr>
              <w:suppressAutoHyphens w:val="0"/>
              <w:overflowPunct w:val="0"/>
              <w:autoSpaceDE w:val="0"/>
              <w:autoSpaceDN w:val="0"/>
              <w:adjustRightInd w:val="0"/>
              <w:jc w:val="both"/>
              <w:rPr>
                <w:b/>
                <w:bCs/>
                <w:szCs w:val="24"/>
              </w:rPr>
            </w:pPr>
            <w:r w:rsidRPr="008529C6">
              <w:rPr>
                <w:b/>
                <w:bCs/>
                <w:szCs w:val="24"/>
              </w:rPr>
              <w:t>Összesen</w:t>
            </w:r>
          </w:p>
        </w:tc>
        <w:tc>
          <w:tcPr>
            <w:tcW w:w="1418" w:type="dxa"/>
          </w:tcPr>
          <w:p w:rsidR="008529C6" w:rsidRPr="008529C6" w:rsidRDefault="008529C6" w:rsidP="008529C6">
            <w:pPr>
              <w:suppressAutoHyphens w:val="0"/>
              <w:overflowPunct w:val="0"/>
              <w:autoSpaceDE w:val="0"/>
              <w:autoSpaceDN w:val="0"/>
              <w:adjustRightInd w:val="0"/>
              <w:jc w:val="right"/>
              <w:rPr>
                <w:b/>
                <w:bCs/>
                <w:szCs w:val="24"/>
              </w:rPr>
            </w:pPr>
            <w:r w:rsidRPr="008529C6">
              <w:rPr>
                <w:b/>
                <w:bCs/>
                <w:szCs w:val="24"/>
              </w:rPr>
              <w:t xml:space="preserve">          17 804</w:t>
            </w:r>
          </w:p>
        </w:tc>
        <w:tc>
          <w:tcPr>
            <w:tcW w:w="1276" w:type="dxa"/>
          </w:tcPr>
          <w:p w:rsidR="008529C6" w:rsidRPr="008529C6" w:rsidRDefault="008529C6" w:rsidP="008529C6">
            <w:pPr>
              <w:suppressAutoHyphens w:val="0"/>
              <w:overflowPunct w:val="0"/>
              <w:autoSpaceDE w:val="0"/>
              <w:autoSpaceDN w:val="0"/>
              <w:adjustRightInd w:val="0"/>
              <w:jc w:val="right"/>
              <w:rPr>
                <w:b/>
                <w:bCs/>
                <w:szCs w:val="24"/>
              </w:rPr>
            </w:pPr>
            <w:r w:rsidRPr="008529C6">
              <w:rPr>
                <w:b/>
                <w:bCs/>
                <w:szCs w:val="24"/>
              </w:rPr>
              <w:t xml:space="preserve">     21 009</w:t>
            </w:r>
          </w:p>
        </w:tc>
      </w:tr>
    </w:tbl>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2019. évben non-profit szervezet részére 35 E Ft támogatást nyújtottunk, valamint a Tiszatenyő Községi Önkormányzat rendezvényére 50 E Ft támogatást adott Társaságunk.</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pPr>
      <w:r w:rsidRPr="008529C6">
        <w:rPr>
          <w:szCs w:val="24"/>
        </w:rPr>
        <w:t>A tulajdonos Önkormányzat részére a tárgyévben kiszámlázott szolgáltatások ellenértéke (nettó) 63 748 E Ft.</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lang/>
        </w:rPr>
      </w:pPr>
      <w:r w:rsidRPr="008529C6">
        <w:rPr>
          <w:lang/>
        </w:rPr>
        <w:t>Társasági adóalapot módosító tételek és a fizetendő adó meghatározása:</w:t>
      </w:r>
      <w:r w:rsidRPr="008529C6">
        <w:rPr>
          <w:lang/>
        </w:rPr>
        <w:tab/>
      </w:r>
    </w:p>
    <w:p w:rsidR="008529C6" w:rsidRPr="008529C6" w:rsidRDefault="008529C6" w:rsidP="008529C6">
      <w:pPr>
        <w:suppressAutoHyphens w:val="0"/>
        <w:overflowPunct w:val="0"/>
        <w:autoSpaceDE w:val="0"/>
        <w:autoSpaceDN w:val="0"/>
        <w:adjustRightInd w:val="0"/>
        <w:jc w:val="both"/>
        <w:rPr>
          <w:lang/>
        </w:rPr>
      </w:pPr>
    </w:p>
    <w:tbl>
      <w:tblPr>
        <w:tblW w:w="9067" w:type="dxa"/>
        <w:tblInd w:w="75" w:type="dxa"/>
        <w:tblCellMar>
          <w:left w:w="70" w:type="dxa"/>
          <w:right w:w="70" w:type="dxa"/>
        </w:tblCellMar>
        <w:tblLook w:val="04A0" w:firstRow="1" w:lastRow="0" w:firstColumn="1" w:lastColumn="0" w:noHBand="0" w:noVBand="1"/>
      </w:tblPr>
      <w:tblGrid>
        <w:gridCol w:w="189"/>
        <w:gridCol w:w="6837"/>
        <w:gridCol w:w="423"/>
        <w:gridCol w:w="1686"/>
      </w:tblGrid>
      <w:tr w:rsidR="008529C6" w:rsidRPr="008529C6" w:rsidTr="008529C6">
        <w:trPr>
          <w:trHeight w:val="330"/>
        </w:trPr>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29C6" w:rsidRPr="008529C6" w:rsidRDefault="008529C6" w:rsidP="008529C6">
            <w:pPr>
              <w:suppressAutoHyphens w:val="0"/>
              <w:contextualSpacing/>
              <w:rPr>
                <w:b/>
                <w:bCs/>
                <w:szCs w:val="24"/>
              </w:rPr>
            </w:pPr>
            <w:r w:rsidRPr="008529C6">
              <w:rPr>
                <w:b/>
                <w:bCs/>
                <w:szCs w:val="24"/>
              </w:rPr>
              <w:t xml:space="preserve">Adózás előtti eredmény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center"/>
              <w:rPr>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right"/>
              <w:rPr>
                <w:b/>
                <w:bCs/>
                <w:sz w:val="22"/>
                <w:szCs w:val="22"/>
              </w:rPr>
            </w:pPr>
            <w:r w:rsidRPr="008529C6">
              <w:rPr>
                <w:b/>
                <w:bCs/>
                <w:sz w:val="22"/>
                <w:szCs w:val="22"/>
              </w:rPr>
              <w:t xml:space="preserve">              16 842 </w:t>
            </w:r>
          </w:p>
        </w:tc>
      </w:tr>
      <w:tr w:rsidR="008529C6" w:rsidRPr="008529C6" w:rsidTr="008529C6">
        <w:trPr>
          <w:trHeight w:val="402"/>
        </w:trPr>
        <w:tc>
          <w:tcPr>
            <w:tcW w:w="7083" w:type="dxa"/>
            <w:gridSpan w:val="2"/>
            <w:tcBorders>
              <w:top w:val="nil"/>
              <w:left w:val="nil"/>
              <w:bottom w:val="single" w:sz="4" w:space="0" w:color="auto"/>
              <w:right w:val="single" w:sz="4" w:space="0" w:color="000000"/>
            </w:tcBorders>
            <w:shd w:val="clear" w:color="auto" w:fill="auto"/>
            <w:vAlign w:val="center"/>
            <w:hideMark/>
          </w:tcPr>
          <w:p w:rsidR="008529C6" w:rsidRPr="008529C6" w:rsidRDefault="008529C6" w:rsidP="008529C6">
            <w:pPr>
              <w:suppressAutoHyphens w:val="0"/>
              <w:contextualSpacing/>
              <w:rPr>
                <w:b/>
                <w:bCs/>
                <w:szCs w:val="24"/>
                <w:u w:val="single"/>
              </w:rPr>
            </w:pPr>
            <w:r w:rsidRPr="008529C6">
              <w:rPr>
                <w:b/>
                <w:bCs/>
                <w:szCs w:val="24"/>
                <w:u w:val="single"/>
              </w:rPr>
              <w:t>Adóalap módosító tételek</w:t>
            </w:r>
          </w:p>
        </w:tc>
        <w:tc>
          <w:tcPr>
            <w:tcW w:w="42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center"/>
              <w:rPr>
                <w:szCs w:val="24"/>
              </w:rPr>
            </w:pPr>
            <w:r w:rsidRPr="008529C6">
              <w:rP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right"/>
              <w:rPr>
                <w:sz w:val="22"/>
                <w:szCs w:val="22"/>
              </w:rPr>
            </w:pPr>
            <w:r w:rsidRPr="008529C6">
              <w:rPr>
                <w:sz w:val="22"/>
                <w:szCs w:val="22"/>
              </w:rPr>
              <w:t> </w:t>
            </w:r>
          </w:p>
        </w:tc>
      </w:tr>
      <w:tr w:rsidR="008529C6" w:rsidRPr="008529C6" w:rsidTr="008529C6">
        <w:trPr>
          <w:trHeight w:val="341"/>
        </w:trPr>
        <w:tc>
          <w:tcPr>
            <w:tcW w:w="190" w:type="dxa"/>
            <w:tcBorders>
              <w:top w:val="nil"/>
              <w:right w:val="single" w:sz="4" w:space="0" w:color="auto"/>
            </w:tcBorders>
            <w:shd w:val="clear" w:color="auto" w:fill="auto"/>
            <w:noWrap/>
            <w:vAlign w:val="center"/>
          </w:tcPr>
          <w:p w:rsidR="008529C6" w:rsidRPr="008529C6" w:rsidRDefault="008529C6" w:rsidP="008529C6">
            <w:pPr>
              <w:suppressAutoHyphens w:val="0"/>
              <w:contextualSpacing/>
              <w:jc w:val="center"/>
              <w:rPr>
                <w:sz w:val="20"/>
              </w:rPr>
            </w:pPr>
          </w:p>
        </w:tc>
        <w:tc>
          <w:tcPr>
            <w:tcW w:w="6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9C6" w:rsidRPr="008529C6" w:rsidRDefault="008529C6" w:rsidP="008529C6">
            <w:pPr>
              <w:suppressAutoHyphens w:val="0"/>
              <w:contextualSpacing/>
              <w:rPr>
                <w:szCs w:val="24"/>
              </w:rPr>
            </w:pPr>
            <w:r w:rsidRPr="008529C6">
              <w:rPr>
                <w:szCs w:val="24"/>
              </w:rPr>
              <w:t>Számviteli törvény szerinti terv szerinti értékcsökkenés</w:t>
            </w:r>
          </w:p>
        </w:tc>
        <w:tc>
          <w:tcPr>
            <w:tcW w:w="42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center"/>
              <w:rPr>
                <w:b/>
                <w:bCs/>
                <w:szCs w:val="24"/>
              </w:rPr>
            </w:pPr>
            <w:r w:rsidRPr="008529C6">
              <w:rPr>
                <w:b/>
                <w:bCs/>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right"/>
              <w:rPr>
                <w:sz w:val="22"/>
                <w:szCs w:val="22"/>
              </w:rPr>
            </w:pPr>
            <w:r w:rsidRPr="008529C6">
              <w:rPr>
                <w:sz w:val="22"/>
                <w:szCs w:val="22"/>
              </w:rPr>
              <w:t xml:space="preserve">              11 894     </w:t>
            </w:r>
          </w:p>
        </w:tc>
      </w:tr>
      <w:tr w:rsidR="008529C6" w:rsidRPr="008529C6" w:rsidTr="008529C6">
        <w:trPr>
          <w:trHeight w:val="360"/>
        </w:trPr>
        <w:tc>
          <w:tcPr>
            <w:tcW w:w="190" w:type="dxa"/>
            <w:tcBorders>
              <w:top w:val="nil"/>
              <w:right w:val="single" w:sz="4" w:space="0" w:color="auto"/>
            </w:tcBorders>
            <w:shd w:val="clear" w:color="auto" w:fill="auto"/>
            <w:noWrap/>
            <w:vAlign w:val="center"/>
          </w:tcPr>
          <w:p w:rsidR="008529C6" w:rsidRPr="008529C6" w:rsidRDefault="008529C6" w:rsidP="008529C6">
            <w:pPr>
              <w:suppressAutoHyphens w:val="0"/>
              <w:contextualSpacing/>
              <w:jc w:val="center"/>
              <w:rPr>
                <w:sz w:val="20"/>
              </w:rPr>
            </w:pPr>
          </w:p>
        </w:tc>
        <w:tc>
          <w:tcPr>
            <w:tcW w:w="6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9C6" w:rsidRPr="008529C6" w:rsidRDefault="008529C6" w:rsidP="008529C6">
            <w:pPr>
              <w:suppressAutoHyphens w:val="0"/>
              <w:contextualSpacing/>
              <w:rPr>
                <w:szCs w:val="24"/>
              </w:rPr>
            </w:pPr>
            <w:r w:rsidRPr="008529C6">
              <w:rPr>
                <w:szCs w:val="24"/>
              </w:rPr>
              <w:t xml:space="preserve">Társasági adó törvény szerinti adóévre elszámolható értékcsökkenés </w:t>
            </w:r>
          </w:p>
        </w:tc>
        <w:tc>
          <w:tcPr>
            <w:tcW w:w="42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center"/>
              <w:rPr>
                <w:b/>
                <w:bCs/>
                <w:szCs w:val="24"/>
              </w:rPr>
            </w:pPr>
            <w:r w:rsidRPr="008529C6">
              <w:rPr>
                <w:b/>
                <w:bCs/>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right"/>
              <w:rPr>
                <w:sz w:val="22"/>
                <w:szCs w:val="22"/>
              </w:rPr>
            </w:pPr>
            <w:r w:rsidRPr="008529C6">
              <w:rPr>
                <w:sz w:val="22"/>
                <w:szCs w:val="22"/>
              </w:rPr>
              <w:t xml:space="preserve">              7 651     </w:t>
            </w:r>
          </w:p>
        </w:tc>
      </w:tr>
      <w:tr w:rsidR="008529C6" w:rsidRPr="008529C6" w:rsidTr="008529C6">
        <w:trPr>
          <w:trHeight w:val="559"/>
        </w:trPr>
        <w:tc>
          <w:tcPr>
            <w:tcW w:w="190" w:type="dxa"/>
            <w:tcBorders>
              <w:top w:val="nil"/>
              <w:right w:val="single" w:sz="4" w:space="0" w:color="auto"/>
            </w:tcBorders>
            <w:shd w:val="clear" w:color="auto" w:fill="auto"/>
            <w:noWrap/>
            <w:vAlign w:val="center"/>
          </w:tcPr>
          <w:p w:rsidR="008529C6" w:rsidRPr="008529C6" w:rsidRDefault="008529C6" w:rsidP="008529C6">
            <w:pPr>
              <w:suppressAutoHyphens w:val="0"/>
              <w:contextualSpacing/>
              <w:rPr>
                <w:sz w:val="20"/>
              </w:rPr>
            </w:pPr>
          </w:p>
        </w:tc>
        <w:tc>
          <w:tcPr>
            <w:tcW w:w="6893" w:type="dxa"/>
            <w:tcBorders>
              <w:top w:val="single" w:sz="4" w:space="0" w:color="auto"/>
              <w:left w:val="single" w:sz="4" w:space="0" w:color="auto"/>
              <w:bottom w:val="single" w:sz="4" w:space="0" w:color="auto"/>
              <w:right w:val="single" w:sz="4" w:space="0" w:color="auto"/>
            </w:tcBorders>
            <w:shd w:val="clear" w:color="auto" w:fill="auto"/>
            <w:vAlign w:val="center"/>
          </w:tcPr>
          <w:p w:rsidR="008529C6" w:rsidRPr="008529C6" w:rsidRDefault="008529C6" w:rsidP="008529C6">
            <w:pPr>
              <w:suppressAutoHyphens w:val="0"/>
              <w:contextualSpacing/>
              <w:rPr>
                <w:szCs w:val="24"/>
              </w:rPr>
            </w:pPr>
            <w:r w:rsidRPr="008529C6">
              <w:rPr>
                <w:szCs w:val="24"/>
              </w:rPr>
              <w:t>Ráfordításként elszámolt jogerős bírság, Art. és Tb-törvények szerinti jogkövetkezmények az önellenőrzési pótlék kivételével</w:t>
            </w:r>
          </w:p>
        </w:tc>
        <w:tc>
          <w:tcPr>
            <w:tcW w:w="425" w:type="dxa"/>
            <w:tcBorders>
              <w:top w:val="nil"/>
              <w:left w:val="nil"/>
              <w:bottom w:val="single" w:sz="4" w:space="0" w:color="auto"/>
              <w:right w:val="single" w:sz="4" w:space="0" w:color="auto"/>
            </w:tcBorders>
            <w:shd w:val="clear" w:color="auto" w:fill="auto"/>
            <w:noWrap/>
            <w:vAlign w:val="center"/>
          </w:tcPr>
          <w:p w:rsidR="008529C6" w:rsidRPr="008529C6" w:rsidRDefault="008529C6" w:rsidP="008529C6">
            <w:pPr>
              <w:suppressAutoHyphens w:val="0"/>
              <w:contextualSpacing/>
              <w:jc w:val="center"/>
              <w:rPr>
                <w:b/>
                <w:bCs/>
                <w:szCs w:val="24"/>
              </w:rPr>
            </w:pPr>
            <w:r w:rsidRPr="008529C6">
              <w:rPr>
                <w:b/>
                <w:bCs/>
                <w:szCs w:val="24"/>
              </w:rPr>
              <w:t>+</w:t>
            </w:r>
          </w:p>
        </w:tc>
        <w:tc>
          <w:tcPr>
            <w:tcW w:w="1559" w:type="dxa"/>
            <w:tcBorders>
              <w:top w:val="nil"/>
              <w:left w:val="nil"/>
              <w:bottom w:val="single" w:sz="4" w:space="0" w:color="auto"/>
              <w:right w:val="single" w:sz="4" w:space="0" w:color="auto"/>
            </w:tcBorders>
            <w:shd w:val="clear" w:color="auto" w:fill="auto"/>
            <w:noWrap/>
            <w:vAlign w:val="center"/>
          </w:tcPr>
          <w:p w:rsidR="008529C6" w:rsidRPr="008529C6" w:rsidRDefault="008529C6" w:rsidP="008529C6">
            <w:pPr>
              <w:suppressAutoHyphens w:val="0"/>
              <w:contextualSpacing/>
              <w:jc w:val="right"/>
              <w:rPr>
                <w:sz w:val="22"/>
                <w:szCs w:val="22"/>
              </w:rPr>
            </w:pPr>
            <w:r w:rsidRPr="008529C6">
              <w:rPr>
                <w:sz w:val="22"/>
                <w:szCs w:val="22"/>
              </w:rPr>
              <w:t xml:space="preserve">                         84</w:t>
            </w:r>
          </w:p>
        </w:tc>
      </w:tr>
      <w:tr w:rsidR="008529C6" w:rsidRPr="008529C6" w:rsidTr="008529C6">
        <w:trPr>
          <w:trHeight w:val="413"/>
        </w:trPr>
        <w:tc>
          <w:tcPr>
            <w:tcW w:w="190" w:type="dxa"/>
            <w:tcBorders>
              <w:top w:val="nil"/>
              <w:right w:val="single" w:sz="4" w:space="0" w:color="auto"/>
            </w:tcBorders>
            <w:shd w:val="clear" w:color="auto" w:fill="auto"/>
            <w:noWrap/>
            <w:vAlign w:val="center"/>
          </w:tcPr>
          <w:p w:rsidR="008529C6" w:rsidRPr="008529C6" w:rsidRDefault="008529C6" w:rsidP="008529C6">
            <w:pPr>
              <w:suppressAutoHyphens w:val="0"/>
              <w:contextualSpacing/>
              <w:jc w:val="center"/>
              <w:rPr>
                <w:sz w:val="20"/>
              </w:rPr>
            </w:pPr>
          </w:p>
        </w:tc>
        <w:tc>
          <w:tcPr>
            <w:tcW w:w="6893" w:type="dxa"/>
            <w:tcBorders>
              <w:top w:val="single" w:sz="4" w:space="0" w:color="auto"/>
              <w:left w:val="single" w:sz="4" w:space="0" w:color="auto"/>
              <w:bottom w:val="single" w:sz="4" w:space="0" w:color="auto"/>
              <w:right w:val="single" w:sz="4" w:space="0" w:color="auto"/>
            </w:tcBorders>
            <w:shd w:val="clear" w:color="auto" w:fill="auto"/>
            <w:vAlign w:val="center"/>
          </w:tcPr>
          <w:p w:rsidR="008529C6" w:rsidRPr="008529C6" w:rsidRDefault="008529C6" w:rsidP="008529C6">
            <w:pPr>
              <w:suppressAutoHyphens w:val="0"/>
              <w:contextualSpacing/>
              <w:rPr>
                <w:szCs w:val="24"/>
              </w:rPr>
            </w:pPr>
            <w:r w:rsidRPr="008529C6">
              <w:rPr>
                <w:szCs w:val="24"/>
              </w:rPr>
              <w:t xml:space="preserve">Behajthatatlan követelés, követelésre visszaírt értékvesztés, átruházáskor, kiegyenlítéskor a könyv szerinti érték felett befolyt összeg, de </w:t>
            </w:r>
            <w:proofErr w:type="spellStart"/>
            <w:r w:rsidRPr="008529C6">
              <w:rPr>
                <w:szCs w:val="24"/>
              </w:rPr>
              <w:t>max</w:t>
            </w:r>
            <w:proofErr w:type="spellEnd"/>
            <w:r w:rsidRPr="008529C6">
              <w:rPr>
                <w:szCs w:val="24"/>
              </w:rPr>
              <w:t>. a nyilvántartott értékvesztés; követelésre visszaírt értékvesztés</w:t>
            </w:r>
          </w:p>
        </w:tc>
        <w:tc>
          <w:tcPr>
            <w:tcW w:w="425" w:type="dxa"/>
            <w:tcBorders>
              <w:top w:val="nil"/>
              <w:left w:val="nil"/>
              <w:bottom w:val="single" w:sz="4" w:space="0" w:color="auto"/>
              <w:right w:val="single" w:sz="4" w:space="0" w:color="auto"/>
            </w:tcBorders>
            <w:shd w:val="clear" w:color="auto" w:fill="auto"/>
            <w:noWrap/>
            <w:vAlign w:val="center"/>
          </w:tcPr>
          <w:p w:rsidR="008529C6" w:rsidRPr="008529C6" w:rsidRDefault="008529C6" w:rsidP="008529C6">
            <w:pPr>
              <w:suppressAutoHyphens w:val="0"/>
              <w:contextualSpacing/>
              <w:jc w:val="center"/>
              <w:rPr>
                <w:b/>
                <w:bCs/>
                <w:szCs w:val="24"/>
              </w:rPr>
            </w:pPr>
            <w:r w:rsidRPr="008529C6">
              <w:rPr>
                <w:b/>
                <w:bCs/>
                <w:szCs w:val="24"/>
              </w:rPr>
              <w:t>-</w:t>
            </w:r>
          </w:p>
        </w:tc>
        <w:tc>
          <w:tcPr>
            <w:tcW w:w="1559" w:type="dxa"/>
            <w:tcBorders>
              <w:top w:val="nil"/>
              <w:left w:val="nil"/>
              <w:bottom w:val="single" w:sz="4" w:space="0" w:color="auto"/>
              <w:right w:val="single" w:sz="4" w:space="0" w:color="auto"/>
            </w:tcBorders>
            <w:shd w:val="clear" w:color="auto" w:fill="auto"/>
            <w:noWrap/>
            <w:vAlign w:val="center"/>
          </w:tcPr>
          <w:p w:rsidR="008529C6" w:rsidRPr="008529C6" w:rsidRDefault="008529C6" w:rsidP="008529C6">
            <w:pPr>
              <w:suppressAutoHyphens w:val="0"/>
              <w:contextualSpacing/>
              <w:jc w:val="right"/>
              <w:rPr>
                <w:sz w:val="22"/>
                <w:szCs w:val="22"/>
              </w:rPr>
            </w:pPr>
            <w:r w:rsidRPr="008529C6">
              <w:rPr>
                <w:sz w:val="22"/>
                <w:szCs w:val="22"/>
              </w:rPr>
              <w:t xml:space="preserve">                        11 918</w:t>
            </w:r>
          </w:p>
        </w:tc>
      </w:tr>
      <w:tr w:rsidR="008529C6" w:rsidRPr="008529C6" w:rsidTr="008529C6">
        <w:trPr>
          <w:trHeight w:val="289"/>
        </w:trPr>
        <w:tc>
          <w:tcPr>
            <w:tcW w:w="190" w:type="dxa"/>
            <w:tcBorders>
              <w:left w:val="nil"/>
              <w:bottom w:val="nil"/>
              <w:right w:val="nil"/>
            </w:tcBorders>
            <w:shd w:val="clear" w:color="auto" w:fill="auto"/>
            <w:noWrap/>
            <w:vAlign w:val="center"/>
            <w:hideMark/>
          </w:tcPr>
          <w:p w:rsidR="008529C6" w:rsidRPr="008529C6" w:rsidRDefault="008529C6" w:rsidP="008529C6">
            <w:pPr>
              <w:suppressAutoHyphens w:val="0"/>
              <w:contextualSpacing/>
              <w:jc w:val="center"/>
              <w:rPr>
                <w:sz w:val="20"/>
              </w:rPr>
            </w:pPr>
            <w:r w:rsidRPr="008529C6">
              <w:rPr>
                <w:sz w:val="20"/>
              </w:rPr>
              <w:t> </w:t>
            </w:r>
          </w:p>
        </w:tc>
        <w:tc>
          <w:tcPr>
            <w:tcW w:w="6893" w:type="dxa"/>
            <w:tcBorders>
              <w:top w:val="nil"/>
              <w:left w:val="single" w:sz="4" w:space="0" w:color="auto"/>
              <w:bottom w:val="single" w:sz="4" w:space="0" w:color="auto"/>
              <w:right w:val="single" w:sz="4" w:space="0" w:color="auto"/>
            </w:tcBorders>
            <w:shd w:val="clear" w:color="auto" w:fill="auto"/>
            <w:vAlign w:val="center"/>
            <w:hideMark/>
          </w:tcPr>
          <w:p w:rsidR="008529C6" w:rsidRPr="008529C6" w:rsidRDefault="008529C6" w:rsidP="008529C6">
            <w:pPr>
              <w:suppressAutoHyphens w:val="0"/>
              <w:contextualSpacing/>
              <w:rPr>
                <w:b/>
                <w:bCs/>
                <w:szCs w:val="24"/>
              </w:rPr>
            </w:pPr>
            <w:r w:rsidRPr="008529C6">
              <w:rPr>
                <w:b/>
                <w:bCs/>
                <w:szCs w:val="24"/>
              </w:rPr>
              <w:t xml:space="preserve">Adózás alapját növelő tételek összesen  </w:t>
            </w:r>
          </w:p>
        </w:tc>
        <w:tc>
          <w:tcPr>
            <w:tcW w:w="42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center"/>
              <w:rPr>
                <w:b/>
                <w:bCs/>
                <w:szCs w:val="24"/>
              </w:rPr>
            </w:pPr>
            <w:r w:rsidRPr="008529C6">
              <w:rPr>
                <w:b/>
                <w:bCs/>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right"/>
              <w:rPr>
                <w:b/>
                <w:bCs/>
                <w:sz w:val="22"/>
                <w:szCs w:val="22"/>
              </w:rPr>
            </w:pPr>
            <w:r w:rsidRPr="008529C6">
              <w:rPr>
                <w:b/>
                <w:bCs/>
                <w:sz w:val="22"/>
                <w:szCs w:val="22"/>
              </w:rPr>
              <w:t xml:space="preserve">             11 978    </w:t>
            </w:r>
          </w:p>
        </w:tc>
      </w:tr>
      <w:tr w:rsidR="008529C6" w:rsidRPr="008529C6" w:rsidTr="008529C6">
        <w:trPr>
          <w:trHeight w:val="279"/>
        </w:trPr>
        <w:tc>
          <w:tcPr>
            <w:tcW w:w="190" w:type="dxa"/>
            <w:tcBorders>
              <w:top w:val="nil"/>
              <w:left w:val="nil"/>
              <w:bottom w:val="nil"/>
              <w:right w:val="nil"/>
            </w:tcBorders>
            <w:shd w:val="clear" w:color="auto" w:fill="auto"/>
            <w:noWrap/>
            <w:vAlign w:val="center"/>
            <w:hideMark/>
          </w:tcPr>
          <w:p w:rsidR="008529C6" w:rsidRPr="008529C6" w:rsidRDefault="008529C6" w:rsidP="008529C6">
            <w:pPr>
              <w:suppressAutoHyphens w:val="0"/>
              <w:contextualSpacing/>
              <w:jc w:val="center"/>
              <w:rPr>
                <w:sz w:val="20"/>
              </w:rPr>
            </w:pPr>
            <w:r w:rsidRPr="008529C6">
              <w:rPr>
                <w:sz w:val="20"/>
              </w:rPr>
              <w:t> </w:t>
            </w:r>
          </w:p>
        </w:tc>
        <w:tc>
          <w:tcPr>
            <w:tcW w:w="6893"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rPr>
                <w:b/>
                <w:bCs/>
                <w:szCs w:val="24"/>
              </w:rPr>
            </w:pPr>
            <w:r w:rsidRPr="008529C6">
              <w:rPr>
                <w:b/>
                <w:bCs/>
                <w:szCs w:val="24"/>
              </w:rPr>
              <w:t xml:space="preserve">Adózás alapját csökkentő tételek összesen  </w:t>
            </w:r>
          </w:p>
        </w:tc>
        <w:tc>
          <w:tcPr>
            <w:tcW w:w="42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rPr>
                <w:b/>
                <w:bCs/>
                <w:szCs w:val="24"/>
              </w:rPr>
            </w:pPr>
            <w:r w:rsidRPr="008529C6">
              <w:rPr>
                <w:b/>
                <w:bCs/>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right"/>
              <w:rPr>
                <w:b/>
                <w:bCs/>
                <w:sz w:val="22"/>
                <w:szCs w:val="22"/>
              </w:rPr>
            </w:pPr>
            <w:r w:rsidRPr="008529C6">
              <w:rPr>
                <w:b/>
                <w:bCs/>
                <w:sz w:val="22"/>
                <w:szCs w:val="22"/>
              </w:rPr>
              <w:t xml:space="preserve">             19 569    </w:t>
            </w:r>
          </w:p>
        </w:tc>
      </w:tr>
      <w:tr w:rsidR="008529C6" w:rsidRPr="008529C6" w:rsidTr="008529C6">
        <w:trPr>
          <w:trHeight w:val="256"/>
        </w:trPr>
        <w:tc>
          <w:tcPr>
            <w:tcW w:w="190" w:type="dxa"/>
            <w:tcBorders>
              <w:top w:val="nil"/>
              <w:left w:val="nil"/>
              <w:bottom w:val="nil"/>
              <w:right w:val="nil"/>
            </w:tcBorders>
            <w:shd w:val="clear" w:color="auto" w:fill="auto"/>
            <w:noWrap/>
            <w:vAlign w:val="center"/>
            <w:hideMark/>
          </w:tcPr>
          <w:p w:rsidR="008529C6" w:rsidRPr="008529C6" w:rsidRDefault="008529C6" w:rsidP="008529C6">
            <w:pPr>
              <w:suppressAutoHyphens w:val="0"/>
              <w:contextualSpacing/>
              <w:jc w:val="center"/>
              <w:rPr>
                <w:sz w:val="20"/>
              </w:rPr>
            </w:pPr>
            <w:r w:rsidRPr="008529C6">
              <w:rPr>
                <w:sz w:val="20"/>
              </w:rPr>
              <w:t> </w:t>
            </w:r>
          </w:p>
        </w:tc>
        <w:tc>
          <w:tcPr>
            <w:tcW w:w="6893"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rPr>
                <w:b/>
                <w:bCs/>
                <w:szCs w:val="24"/>
              </w:rPr>
            </w:pPr>
            <w:r w:rsidRPr="008529C6">
              <w:rPr>
                <w:b/>
                <w:bCs/>
                <w:szCs w:val="24"/>
              </w:rPr>
              <w:t xml:space="preserve">Adózás alapját képező eredmény </w:t>
            </w:r>
          </w:p>
        </w:tc>
        <w:tc>
          <w:tcPr>
            <w:tcW w:w="42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center"/>
              <w:rPr>
                <w:b/>
                <w:bCs/>
                <w:szCs w:val="24"/>
              </w:rPr>
            </w:pPr>
            <w:r w:rsidRPr="008529C6">
              <w:rPr>
                <w:b/>
                <w:bCs/>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right"/>
              <w:rPr>
                <w:b/>
                <w:bCs/>
                <w:sz w:val="22"/>
                <w:szCs w:val="22"/>
              </w:rPr>
            </w:pPr>
          </w:p>
          <w:p w:rsidR="008529C6" w:rsidRPr="008529C6" w:rsidRDefault="008529C6" w:rsidP="008529C6">
            <w:pPr>
              <w:suppressAutoHyphens w:val="0"/>
              <w:contextualSpacing/>
              <w:jc w:val="right"/>
              <w:rPr>
                <w:b/>
                <w:bCs/>
                <w:sz w:val="22"/>
                <w:szCs w:val="22"/>
              </w:rPr>
            </w:pPr>
            <w:r w:rsidRPr="008529C6">
              <w:rPr>
                <w:b/>
                <w:bCs/>
                <w:sz w:val="22"/>
                <w:szCs w:val="22"/>
              </w:rPr>
              <w:t xml:space="preserve">9 251                         </w:t>
            </w:r>
          </w:p>
        </w:tc>
      </w:tr>
      <w:tr w:rsidR="008529C6" w:rsidRPr="008529C6" w:rsidTr="008529C6">
        <w:trPr>
          <w:trHeight w:val="277"/>
        </w:trPr>
        <w:tc>
          <w:tcPr>
            <w:tcW w:w="190" w:type="dxa"/>
            <w:tcBorders>
              <w:top w:val="nil"/>
              <w:left w:val="nil"/>
              <w:bottom w:val="nil"/>
              <w:right w:val="nil"/>
            </w:tcBorders>
            <w:shd w:val="clear" w:color="auto" w:fill="auto"/>
            <w:noWrap/>
            <w:vAlign w:val="center"/>
            <w:hideMark/>
          </w:tcPr>
          <w:p w:rsidR="008529C6" w:rsidRPr="008529C6" w:rsidRDefault="008529C6" w:rsidP="008529C6">
            <w:pPr>
              <w:suppressAutoHyphens w:val="0"/>
              <w:contextualSpacing/>
              <w:jc w:val="center"/>
              <w:rPr>
                <w:sz w:val="20"/>
              </w:rPr>
            </w:pPr>
            <w:r w:rsidRPr="008529C6">
              <w:rPr>
                <w:sz w:val="20"/>
              </w:rPr>
              <w:t> </w:t>
            </w:r>
          </w:p>
        </w:tc>
        <w:tc>
          <w:tcPr>
            <w:tcW w:w="6893"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rPr>
                <w:b/>
                <w:bCs/>
                <w:szCs w:val="24"/>
              </w:rPr>
            </w:pPr>
            <w:r w:rsidRPr="008529C6">
              <w:rPr>
                <w:b/>
                <w:bCs/>
                <w:szCs w:val="24"/>
              </w:rPr>
              <w:t xml:space="preserve">Számított társasági adó </w:t>
            </w:r>
          </w:p>
        </w:tc>
        <w:tc>
          <w:tcPr>
            <w:tcW w:w="42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center"/>
              <w:rPr>
                <w:szCs w:val="24"/>
              </w:rPr>
            </w:pPr>
            <w:r w:rsidRPr="008529C6">
              <w:rP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right"/>
              <w:rPr>
                <w:b/>
                <w:bCs/>
                <w:sz w:val="22"/>
                <w:szCs w:val="22"/>
              </w:rPr>
            </w:pPr>
            <w:r w:rsidRPr="008529C6">
              <w:rPr>
                <w:b/>
                <w:bCs/>
                <w:sz w:val="22"/>
                <w:szCs w:val="22"/>
              </w:rPr>
              <w:t xml:space="preserve">                           833     </w:t>
            </w:r>
          </w:p>
        </w:tc>
      </w:tr>
      <w:tr w:rsidR="008529C6" w:rsidRPr="008529C6" w:rsidTr="008529C6">
        <w:trPr>
          <w:trHeight w:val="327"/>
        </w:trPr>
        <w:tc>
          <w:tcPr>
            <w:tcW w:w="190" w:type="dxa"/>
            <w:tcBorders>
              <w:top w:val="nil"/>
              <w:left w:val="nil"/>
              <w:bottom w:val="nil"/>
              <w:right w:val="nil"/>
            </w:tcBorders>
            <w:shd w:val="clear" w:color="auto" w:fill="auto"/>
            <w:noWrap/>
            <w:vAlign w:val="center"/>
            <w:hideMark/>
          </w:tcPr>
          <w:p w:rsidR="008529C6" w:rsidRPr="008529C6" w:rsidRDefault="008529C6" w:rsidP="008529C6">
            <w:pPr>
              <w:suppressAutoHyphens w:val="0"/>
              <w:contextualSpacing/>
              <w:jc w:val="center"/>
              <w:rPr>
                <w:sz w:val="20"/>
              </w:rPr>
            </w:pPr>
            <w:r w:rsidRPr="008529C6">
              <w:rPr>
                <w:sz w:val="20"/>
              </w:rPr>
              <w:t> </w:t>
            </w:r>
          </w:p>
        </w:tc>
        <w:tc>
          <w:tcPr>
            <w:tcW w:w="6893"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rPr>
                <w:szCs w:val="24"/>
              </w:rPr>
            </w:pPr>
            <w:r w:rsidRPr="008529C6">
              <w:rPr>
                <w:szCs w:val="24"/>
              </w:rPr>
              <w:t>Adókedvezmények</w:t>
            </w:r>
          </w:p>
        </w:tc>
        <w:tc>
          <w:tcPr>
            <w:tcW w:w="42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rPr>
                <w:b/>
                <w:bCs/>
                <w:szCs w:val="24"/>
              </w:rPr>
            </w:pPr>
            <w:r w:rsidRPr="008529C6">
              <w:rPr>
                <w:b/>
                <w:bCs/>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right"/>
              <w:rPr>
                <w:b/>
                <w:bCs/>
                <w:sz w:val="22"/>
                <w:szCs w:val="22"/>
              </w:rPr>
            </w:pPr>
            <w:r w:rsidRPr="008529C6">
              <w:rPr>
                <w:b/>
                <w:bCs/>
                <w:sz w:val="22"/>
                <w:szCs w:val="22"/>
              </w:rPr>
              <w:t xml:space="preserve">                           -       </w:t>
            </w:r>
          </w:p>
        </w:tc>
      </w:tr>
      <w:tr w:rsidR="008529C6" w:rsidRPr="008529C6" w:rsidTr="008529C6">
        <w:trPr>
          <w:trHeight w:val="415"/>
        </w:trPr>
        <w:tc>
          <w:tcPr>
            <w:tcW w:w="190" w:type="dxa"/>
            <w:tcBorders>
              <w:top w:val="nil"/>
              <w:left w:val="nil"/>
              <w:bottom w:val="nil"/>
              <w:right w:val="nil"/>
            </w:tcBorders>
            <w:shd w:val="clear" w:color="auto" w:fill="auto"/>
            <w:noWrap/>
            <w:vAlign w:val="center"/>
            <w:hideMark/>
          </w:tcPr>
          <w:p w:rsidR="008529C6" w:rsidRPr="008529C6" w:rsidRDefault="008529C6" w:rsidP="008529C6">
            <w:pPr>
              <w:suppressAutoHyphens w:val="0"/>
              <w:contextualSpacing/>
              <w:jc w:val="center"/>
              <w:rPr>
                <w:sz w:val="20"/>
              </w:rPr>
            </w:pPr>
            <w:r w:rsidRPr="008529C6">
              <w:rPr>
                <w:sz w:val="20"/>
              </w:rPr>
              <w:t> </w:t>
            </w:r>
          </w:p>
        </w:tc>
        <w:tc>
          <w:tcPr>
            <w:tcW w:w="6893"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rPr>
                <w:szCs w:val="24"/>
              </w:rPr>
            </w:pPr>
            <w:r w:rsidRPr="008529C6">
              <w:rPr>
                <w:szCs w:val="24"/>
              </w:rPr>
              <w:t>Adómentesség</w:t>
            </w:r>
          </w:p>
        </w:tc>
        <w:tc>
          <w:tcPr>
            <w:tcW w:w="42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rPr>
                <w:b/>
                <w:bCs/>
                <w:szCs w:val="24"/>
              </w:rPr>
            </w:pPr>
            <w:r w:rsidRPr="008529C6">
              <w:rPr>
                <w:b/>
                <w:bCs/>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right"/>
              <w:rPr>
                <w:b/>
                <w:bCs/>
                <w:sz w:val="22"/>
                <w:szCs w:val="22"/>
              </w:rPr>
            </w:pPr>
            <w:r w:rsidRPr="008529C6">
              <w:rPr>
                <w:b/>
                <w:bCs/>
                <w:sz w:val="22"/>
                <w:szCs w:val="22"/>
              </w:rPr>
              <w:t>                           -</w:t>
            </w:r>
          </w:p>
        </w:tc>
      </w:tr>
      <w:tr w:rsidR="008529C6" w:rsidRPr="008529C6" w:rsidTr="008529C6">
        <w:trPr>
          <w:trHeight w:val="421"/>
        </w:trPr>
        <w:tc>
          <w:tcPr>
            <w:tcW w:w="190" w:type="dxa"/>
            <w:tcBorders>
              <w:top w:val="nil"/>
              <w:left w:val="nil"/>
              <w:bottom w:val="nil"/>
              <w:right w:val="nil"/>
            </w:tcBorders>
            <w:shd w:val="clear" w:color="auto" w:fill="auto"/>
            <w:noWrap/>
            <w:vAlign w:val="center"/>
            <w:hideMark/>
          </w:tcPr>
          <w:p w:rsidR="008529C6" w:rsidRPr="008529C6" w:rsidRDefault="008529C6" w:rsidP="008529C6">
            <w:pPr>
              <w:suppressAutoHyphens w:val="0"/>
              <w:contextualSpacing/>
              <w:jc w:val="center"/>
              <w:rPr>
                <w:sz w:val="20"/>
              </w:rPr>
            </w:pPr>
            <w:r w:rsidRPr="008529C6">
              <w:rPr>
                <w:sz w:val="20"/>
              </w:rPr>
              <w:t> </w:t>
            </w:r>
          </w:p>
        </w:tc>
        <w:tc>
          <w:tcPr>
            <w:tcW w:w="6893"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rPr>
                <w:b/>
                <w:bCs/>
                <w:szCs w:val="24"/>
              </w:rPr>
            </w:pPr>
            <w:r w:rsidRPr="008529C6">
              <w:rPr>
                <w:b/>
                <w:bCs/>
                <w:szCs w:val="24"/>
              </w:rPr>
              <w:t xml:space="preserve">Fizetendő társasági adó </w:t>
            </w:r>
          </w:p>
        </w:tc>
        <w:tc>
          <w:tcPr>
            <w:tcW w:w="42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center"/>
              <w:rPr>
                <w:b/>
                <w:bCs/>
                <w:szCs w:val="24"/>
              </w:rPr>
            </w:pPr>
            <w:r w:rsidRPr="008529C6">
              <w:rPr>
                <w:b/>
                <w:bCs/>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right"/>
              <w:rPr>
                <w:b/>
                <w:bCs/>
                <w:sz w:val="22"/>
                <w:szCs w:val="22"/>
              </w:rPr>
            </w:pPr>
            <w:r w:rsidRPr="008529C6">
              <w:rPr>
                <w:b/>
                <w:bCs/>
                <w:sz w:val="22"/>
                <w:szCs w:val="22"/>
              </w:rPr>
              <w:t xml:space="preserve">                           833     </w:t>
            </w:r>
          </w:p>
        </w:tc>
      </w:tr>
      <w:tr w:rsidR="008529C6" w:rsidRPr="008529C6" w:rsidTr="008529C6">
        <w:trPr>
          <w:trHeight w:val="403"/>
        </w:trPr>
        <w:tc>
          <w:tcPr>
            <w:tcW w:w="190" w:type="dxa"/>
            <w:tcBorders>
              <w:top w:val="nil"/>
              <w:left w:val="nil"/>
              <w:bottom w:val="nil"/>
              <w:right w:val="nil"/>
            </w:tcBorders>
            <w:shd w:val="clear" w:color="auto" w:fill="auto"/>
            <w:noWrap/>
            <w:vAlign w:val="center"/>
            <w:hideMark/>
          </w:tcPr>
          <w:p w:rsidR="008529C6" w:rsidRPr="008529C6" w:rsidRDefault="008529C6" w:rsidP="008529C6">
            <w:pPr>
              <w:suppressAutoHyphens w:val="0"/>
              <w:contextualSpacing/>
              <w:jc w:val="center"/>
              <w:rPr>
                <w:sz w:val="20"/>
              </w:rPr>
            </w:pPr>
            <w:r w:rsidRPr="008529C6">
              <w:rPr>
                <w:sz w:val="20"/>
              </w:rPr>
              <w:t> </w:t>
            </w:r>
          </w:p>
        </w:tc>
        <w:tc>
          <w:tcPr>
            <w:tcW w:w="6893"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rPr>
                <w:b/>
                <w:bCs/>
                <w:szCs w:val="24"/>
              </w:rPr>
            </w:pPr>
            <w:r w:rsidRPr="008529C6">
              <w:rPr>
                <w:b/>
                <w:bCs/>
                <w:szCs w:val="24"/>
              </w:rPr>
              <w:t xml:space="preserve">Adózott eredmény </w:t>
            </w:r>
          </w:p>
        </w:tc>
        <w:tc>
          <w:tcPr>
            <w:tcW w:w="42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center"/>
              <w:rPr>
                <w:b/>
                <w:bCs/>
                <w:szCs w:val="24"/>
              </w:rPr>
            </w:pPr>
            <w:r w:rsidRPr="008529C6">
              <w:rPr>
                <w:b/>
                <w:bCs/>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contextualSpacing/>
              <w:jc w:val="right"/>
              <w:rPr>
                <w:b/>
                <w:bCs/>
                <w:sz w:val="22"/>
                <w:szCs w:val="22"/>
              </w:rPr>
            </w:pPr>
            <w:r w:rsidRPr="008529C6">
              <w:rPr>
                <w:b/>
                <w:bCs/>
                <w:szCs w:val="24"/>
              </w:rPr>
              <w:t xml:space="preserve">             </w:t>
            </w:r>
            <w:r w:rsidRPr="008529C6">
              <w:rPr>
                <w:b/>
                <w:bCs/>
                <w:sz w:val="22"/>
                <w:szCs w:val="22"/>
              </w:rPr>
              <w:t xml:space="preserve">16 009  </w:t>
            </w:r>
          </w:p>
        </w:tc>
      </w:tr>
    </w:tbl>
    <w:p w:rsidR="008529C6" w:rsidRPr="008529C6" w:rsidRDefault="008529C6" w:rsidP="008529C6">
      <w:pPr>
        <w:suppressAutoHyphens w:val="0"/>
        <w:overflowPunct w:val="0"/>
        <w:autoSpaceDE w:val="0"/>
        <w:autoSpaceDN w:val="0"/>
        <w:adjustRightInd w:val="0"/>
        <w:jc w:val="both"/>
        <w:rPr>
          <w:lang/>
        </w:rPr>
      </w:pPr>
      <w:r w:rsidRPr="008529C6">
        <w:rPr>
          <w:lang/>
        </w:rPr>
        <w:tab/>
      </w:r>
      <w:r w:rsidRPr="008529C6">
        <w:rPr>
          <w:lang/>
        </w:rPr>
        <w:tab/>
      </w:r>
      <w:r w:rsidRPr="008529C6">
        <w:rPr>
          <w:lang/>
        </w:rPr>
        <w:tab/>
      </w:r>
    </w:p>
    <w:p w:rsidR="008529C6" w:rsidRPr="008529C6" w:rsidRDefault="008529C6" w:rsidP="008529C6">
      <w:pPr>
        <w:tabs>
          <w:tab w:val="left" w:pos="2295"/>
        </w:tabs>
        <w:suppressAutoHyphens w:val="0"/>
        <w:overflowPunct w:val="0"/>
        <w:autoSpaceDE w:val="0"/>
        <w:autoSpaceDN w:val="0"/>
        <w:adjustRightInd w:val="0"/>
        <w:jc w:val="both"/>
        <w:rPr>
          <w:b/>
          <w:bCs/>
          <w:i/>
          <w:iCs/>
          <w:szCs w:val="24"/>
          <w:u w:val="single"/>
        </w:rPr>
      </w:pPr>
    </w:p>
    <w:p w:rsidR="008529C6" w:rsidRPr="008529C6" w:rsidRDefault="008529C6" w:rsidP="008529C6">
      <w:pPr>
        <w:tabs>
          <w:tab w:val="left" w:pos="2295"/>
        </w:tabs>
        <w:suppressAutoHyphens w:val="0"/>
        <w:overflowPunct w:val="0"/>
        <w:autoSpaceDE w:val="0"/>
        <w:autoSpaceDN w:val="0"/>
        <w:adjustRightInd w:val="0"/>
        <w:jc w:val="both"/>
        <w:rPr>
          <w:b/>
          <w:bCs/>
          <w:i/>
          <w:iCs/>
          <w:szCs w:val="24"/>
          <w:u w:val="single"/>
        </w:rPr>
      </w:pPr>
    </w:p>
    <w:p w:rsidR="008529C6" w:rsidRPr="008529C6" w:rsidRDefault="008529C6" w:rsidP="008529C6">
      <w:pPr>
        <w:tabs>
          <w:tab w:val="left" w:pos="2295"/>
        </w:tabs>
        <w:suppressAutoHyphens w:val="0"/>
        <w:overflowPunct w:val="0"/>
        <w:autoSpaceDE w:val="0"/>
        <w:autoSpaceDN w:val="0"/>
        <w:adjustRightInd w:val="0"/>
        <w:jc w:val="both"/>
        <w:rPr>
          <w:b/>
          <w:bCs/>
          <w:i/>
          <w:iCs/>
          <w:szCs w:val="24"/>
          <w:u w:val="single"/>
        </w:rPr>
      </w:pPr>
    </w:p>
    <w:p w:rsidR="008529C6" w:rsidRPr="008529C6" w:rsidRDefault="008529C6" w:rsidP="008529C6">
      <w:pPr>
        <w:tabs>
          <w:tab w:val="left" w:pos="2295"/>
        </w:tabs>
        <w:suppressAutoHyphens w:val="0"/>
        <w:overflowPunct w:val="0"/>
        <w:autoSpaceDE w:val="0"/>
        <w:autoSpaceDN w:val="0"/>
        <w:adjustRightInd w:val="0"/>
        <w:jc w:val="both"/>
        <w:rPr>
          <w:b/>
          <w:bCs/>
          <w:i/>
          <w:iCs/>
          <w:szCs w:val="24"/>
          <w:u w:val="single"/>
        </w:rPr>
      </w:pPr>
    </w:p>
    <w:p w:rsidR="008529C6" w:rsidRPr="008529C6" w:rsidRDefault="008529C6" w:rsidP="008529C6">
      <w:pPr>
        <w:tabs>
          <w:tab w:val="left" w:pos="2295"/>
        </w:tabs>
        <w:suppressAutoHyphens w:val="0"/>
        <w:overflowPunct w:val="0"/>
        <w:autoSpaceDE w:val="0"/>
        <w:autoSpaceDN w:val="0"/>
        <w:adjustRightInd w:val="0"/>
        <w:jc w:val="both"/>
        <w:rPr>
          <w:b/>
          <w:bCs/>
          <w:i/>
          <w:iCs/>
          <w:szCs w:val="24"/>
          <w:u w:val="single"/>
        </w:rPr>
      </w:pPr>
    </w:p>
    <w:p w:rsidR="008529C6" w:rsidRPr="008529C6" w:rsidRDefault="008529C6" w:rsidP="008529C6">
      <w:pPr>
        <w:tabs>
          <w:tab w:val="left" w:pos="2295"/>
        </w:tabs>
        <w:suppressAutoHyphens w:val="0"/>
        <w:overflowPunct w:val="0"/>
        <w:autoSpaceDE w:val="0"/>
        <w:autoSpaceDN w:val="0"/>
        <w:adjustRightInd w:val="0"/>
        <w:jc w:val="both"/>
        <w:rPr>
          <w:b/>
          <w:bCs/>
          <w:i/>
          <w:iCs/>
          <w:szCs w:val="24"/>
          <w:u w:val="single"/>
        </w:rPr>
      </w:pPr>
      <w:r w:rsidRPr="008529C6">
        <w:rPr>
          <w:b/>
          <w:bCs/>
          <w:i/>
          <w:iCs/>
          <w:szCs w:val="24"/>
          <w:u w:val="single"/>
        </w:rPr>
        <w:t>3. Tájékoztató rész</w:t>
      </w:r>
    </w:p>
    <w:p w:rsidR="008529C6" w:rsidRPr="008529C6" w:rsidRDefault="008529C6" w:rsidP="008529C6">
      <w:pPr>
        <w:tabs>
          <w:tab w:val="left" w:pos="2295"/>
        </w:tabs>
        <w:suppressAutoHyphens w:val="0"/>
        <w:overflowPunct w:val="0"/>
        <w:autoSpaceDE w:val="0"/>
        <w:autoSpaceDN w:val="0"/>
        <w:adjustRightInd w:val="0"/>
        <w:jc w:val="both"/>
        <w:rPr>
          <w:color w:val="FF0000"/>
          <w:szCs w:val="24"/>
        </w:rPr>
      </w:pPr>
    </w:p>
    <w:p w:rsidR="008529C6" w:rsidRPr="008529C6" w:rsidRDefault="008529C6" w:rsidP="008529C6">
      <w:pPr>
        <w:suppressAutoHyphens w:val="0"/>
        <w:overflowPunct w:val="0"/>
        <w:autoSpaceDE w:val="0"/>
        <w:autoSpaceDN w:val="0"/>
        <w:adjustRightInd w:val="0"/>
        <w:jc w:val="both"/>
        <w:rPr>
          <w:color w:val="FF0000"/>
          <w:szCs w:val="24"/>
        </w:rPr>
      </w:pPr>
    </w:p>
    <w:tbl>
      <w:tblPr>
        <w:tblW w:w="7752" w:type="dxa"/>
        <w:jc w:val="center"/>
        <w:tblInd w:w="-437" w:type="dxa"/>
        <w:tblCellMar>
          <w:left w:w="70" w:type="dxa"/>
          <w:right w:w="70" w:type="dxa"/>
        </w:tblCellMar>
        <w:tblLook w:val="0000" w:firstRow="0" w:lastRow="0" w:firstColumn="0" w:lastColumn="0" w:noHBand="0" w:noVBand="0"/>
      </w:tblPr>
      <w:tblGrid>
        <w:gridCol w:w="4302"/>
        <w:gridCol w:w="1030"/>
        <w:gridCol w:w="1300"/>
        <w:gridCol w:w="1120"/>
      </w:tblGrid>
      <w:tr w:rsidR="008529C6" w:rsidRPr="008529C6" w:rsidTr="008529C6">
        <w:trPr>
          <w:trHeight w:val="345"/>
          <w:jc w:val="center"/>
        </w:trPr>
        <w:tc>
          <w:tcPr>
            <w:tcW w:w="4302" w:type="dxa"/>
            <w:tcBorders>
              <w:top w:val="single" w:sz="4" w:space="0" w:color="auto"/>
              <w:left w:val="single" w:sz="4" w:space="0" w:color="auto"/>
              <w:bottom w:val="single" w:sz="4" w:space="0" w:color="auto"/>
              <w:right w:val="single" w:sz="4" w:space="0" w:color="auto"/>
            </w:tcBorders>
          </w:tcPr>
          <w:p w:rsidR="008529C6" w:rsidRPr="008529C6" w:rsidRDefault="008529C6" w:rsidP="008529C6">
            <w:pPr>
              <w:suppressAutoHyphens w:val="0"/>
              <w:jc w:val="center"/>
              <w:rPr>
                <w:b/>
                <w:bCs/>
                <w:szCs w:val="24"/>
              </w:rPr>
            </w:pPr>
            <w:r w:rsidRPr="008529C6">
              <w:rPr>
                <w:b/>
                <w:bCs/>
                <w:szCs w:val="24"/>
              </w:rPr>
              <w:t>Megnevezés</w:t>
            </w:r>
          </w:p>
        </w:tc>
        <w:tc>
          <w:tcPr>
            <w:tcW w:w="1030" w:type="dxa"/>
            <w:tcBorders>
              <w:top w:val="single" w:sz="4" w:space="0" w:color="auto"/>
              <w:left w:val="nil"/>
              <w:bottom w:val="single" w:sz="4" w:space="0" w:color="auto"/>
              <w:right w:val="nil"/>
            </w:tcBorders>
          </w:tcPr>
          <w:p w:rsidR="008529C6" w:rsidRPr="008529C6" w:rsidRDefault="008529C6" w:rsidP="008529C6">
            <w:pPr>
              <w:suppressAutoHyphens w:val="0"/>
              <w:jc w:val="right"/>
              <w:rPr>
                <w:b/>
                <w:bCs/>
                <w:szCs w:val="24"/>
              </w:rPr>
            </w:pPr>
            <w:r w:rsidRPr="008529C6">
              <w:rPr>
                <w:b/>
                <w:bCs/>
                <w:szCs w:val="24"/>
              </w:rPr>
              <w:t>Szellemi</w:t>
            </w:r>
          </w:p>
        </w:tc>
        <w:tc>
          <w:tcPr>
            <w:tcW w:w="1300" w:type="dxa"/>
            <w:tcBorders>
              <w:top w:val="single" w:sz="4" w:space="0" w:color="auto"/>
              <w:left w:val="single" w:sz="4" w:space="0" w:color="auto"/>
              <w:bottom w:val="single" w:sz="4" w:space="0" w:color="auto"/>
              <w:right w:val="single" w:sz="4" w:space="0" w:color="auto"/>
            </w:tcBorders>
          </w:tcPr>
          <w:p w:rsidR="008529C6" w:rsidRPr="008529C6" w:rsidRDefault="008529C6" w:rsidP="008529C6">
            <w:pPr>
              <w:suppressAutoHyphens w:val="0"/>
              <w:jc w:val="right"/>
              <w:rPr>
                <w:b/>
                <w:bCs/>
                <w:szCs w:val="24"/>
              </w:rPr>
            </w:pPr>
            <w:r w:rsidRPr="008529C6">
              <w:rPr>
                <w:b/>
                <w:bCs/>
                <w:szCs w:val="24"/>
              </w:rPr>
              <w:t>Fizikai</w:t>
            </w:r>
          </w:p>
        </w:tc>
        <w:tc>
          <w:tcPr>
            <w:tcW w:w="1120" w:type="dxa"/>
            <w:tcBorders>
              <w:top w:val="single" w:sz="4" w:space="0" w:color="auto"/>
              <w:left w:val="nil"/>
              <w:bottom w:val="single" w:sz="4" w:space="0" w:color="auto"/>
              <w:right w:val="single" w:sz="4" w:space="0" w:color="auto"/>
            </w:tcBorders>
          </w:tcPr>
          <w:p w:rsidR="008529C6" w:rsidRPr="008529C6" w:rsidRDefault="008529C6" w:rsidP="008529C6">
            <w:pPr>
              <w:suppressAutoHyphens w:val="0"/>
              <w:jc w:val="right"/>
              <w:rPr>
                <w:b/>
                <w:bCs/>
                <w:szCs w:val="24"/>
              </w:rPr>
            </w:pPr>
            <w:r w:rsidRPr="008529C6">
              <w:rPr>
                <w:b/>
                <w:bCs/>
                <w:szCs w:val="24"/>
              </w:rPr>
              <w:t>Összesen</w:t>
            </w:r>
          </w:p>
        </w:tc>
      </w:tr>
      <w:tr w:rsidR="008529C6" w:rsidRPr="008529C6" w:rsidTr="008529C6">
        <w:trPr>
          <w:trHeight w:val="321"/>
          <w:jc w:val="center"/>
        </w:trPr>
        <w:tc>
          <w:tcPr>
            <w:tcW w:w="4302" w:type="dxa"/>
            <w:tcBorders>
              <w:top w:val="nil"/>
              <w:left w:val="single" w:sz="4" w:space="0" w:color="auto"/>
              <w:bottom w:val="nil"/>
              <w:right w:val="single" w:sz="4" w:space="0" w:color="auto"/>
            </w:tcBorders>
          </w:tcPr>
          <w:p w:rsidR="008529C6" w:rsidRPr="008529C6" w:rsidRDefault="008529C6" w:rsidP="008529C6">
            <w:pPr>
              <w:suppressAutoHyphens w:val="0"/>
              <w:rPr>
                <w:szCs w:val="24"/>
              </w:rPr>
            </w:pPr>
            <w:r w:rsidRPr="008529C6">
              <w:rPr>
                <w:szCs w:val="24"/>
              </w:rPr>
              <w:t>Átlagos statisztikai létszám (fő)</w:t>
            </w:r>
          </w:p>
        </w:tc>
        <w:tc>
          <w:tcPr>
            <w:tcW w:w="1030" w:type="dxa"/>
            <w:tcBorders>
              <w:top w:val="nil"/>
              <w:left w:val="nil"/>
              <w:bottom w:val="single" w:sz="4" w:space="0" w:color="auto"/>
              <w:right w:val="nil"/>
            </w:tcBorders>
          </w:tcPr>
          <w:p w:rsidR="008529C6" w:rsidRPr="008529C6" w:rsidRDefault="008529C6" w:rsidP="008529C6">
            <w:pPr>
              <w:suppressAutoHyphens w:val="0"/>
              <w:jc w:val="right"/>
              <w:rPr>
                <w:szCs w:val="24"/>
              </w:rPr>
            </w:pPr>
            <w:r w:rsidRPr="008529C6">
              <w:rPr>
                <w:szCs w:val="24"/>
              </w:rPr>
              <w:t>11,2</w:t>
            </w:r>
          </w:p>
        </w:tc>
        <w:tc>
          <w:tcPr>
            <w:tcW w:w="1300" w:type="dxa"/>
            <w:tcBorders>
              <w:top w:val="nil"/>
              <w:left w:val="single" w:sz="4" w:space="0" w:color="auto"/>
              <w:bottom w:val="single" w:sz="4" w:space="0" w:color="auto"/>
              <w:right w:val="single" w:sz="4" w:space="0" w:color="auto"/>
            </w:tcBorders>
          </w:tcPr>
          <w:p w:rsidR="008529C6" w:rsidRPr="008529C6" w:rsidRDefault="008529C6" w:rsidP="008529C6">
            <w:pPr>
              <w:suppressAutoHyphens w:val="0"/>
              <w:jc w:val="right"/>
              <w:rPr>
                <w:szCs w:val="24"/>
              </w:rPr>
            </w:pPr>
            <w:r w:rsidRPr="008529C6">
              <w:rPr>
                <w:szCs w:val="24"/>
              </w:rPr>
              <w:t>44,7</w:t>
            </w:r>
          </w:p>
        </w:tc>
        <w:tc>
          <w:tcPr>
            <w:tcW w:w="1120" w:type="dxa"/>
            <w:tcBorders>
              <w:top w:val="nil"/>
              <w:left w:val="nil"/>
              <w:bottom w:val="single" w:sz="4" w:space="0" w:color="auto"/>
              <w:right w:val="single" w:sz="4" w:space="0" w:color="auto"/>
            </w:tcBorders>
            <w:noWrap/>
            <w:vAlign w:val="center"/>
          </w:tcPr>
          <w:p w:rsidR="008529C6" w:rsidRPr="008529C6" w:rsidRDefault="008529C6" w:rsidP="008529C6">
            <w:pPr>
              <w:suppressAutoHyphens w:val="0"/>
              <w:jc w:val="right"/>
              <w:rPr>
                <w:szCs w:val="24"/>
              </w:rPr>
            </w:pPr>
            <w:r w:rsidRPr="008529C6">
              <w:rPr>
                <w:szCs w:val="24"/>
              </w:rPr>
              <w:t>55,9</w:t>
            </w:r>
          </w:p>
        </w:tc>
      </w:tr>
      <w:tr w:rsidR="008529C6" w:rsidRPr="008529C6" w:rsidTr="008529C6">
        <w:trPr>
          <w:trHeight w:val="300"/>
          <w:jc w:val="center"/>
        </w:trPr>
        <w:tc>
          <w:tcPr>
            <w:tcW w:w="4302" w:type="dxa"/>
            <w:tcBorders>
              <w:top w:val="single" w:sz="4" w:space="0" w:color="auto"/>
              <w:left w:val="single" w:sz="4" w:space="0" w:color="auto"/>
              <w:bottom w:val="single" w:sz="4" w:space="0" w:color="auto"/>
              <w:right w:val="single" w:sz="4" w:space="0" w:color="auto"/>
            </w:tcBorders>
          </w:tcPr>
          <w:p w:rsidR="008529C6" w:rsidRPr="008529C6" w:rsidRDefault="008529C6" w:rsidP="008529C6">
            <w:pPr>
              <w:suppressAutoHyphens w:val="0"/>
              <w:jc w:val="both"/>
              <w:rPr>
                <w:szCs w:val="24"/>
              </w:rPr>
            </w:pPr>
            <w:r w:rsidRPr="008529C6">
              <w:rPr>
                <w:szCs w:val="24"/>
              </w:rPr>
              <w:t>Összes kereset (E Ft)</w:t>
            </w:r>
          </w:p>
        </w:tc>
        <w:tc>
          <w:tcPr>
            <w:tcW w:w="1030" w:type="dxa"/>
            <w:tcBorders>
              <w:top w:val="nil"/>
              <w:left w:val="nil"/>
              <w:bottom w:val="single" w:sz="4" w:space="0" w:color="auto"/>
              <w:right w:val="nil"/>
            </w:tcBorders>
          </w:tcPr>
          <w:p w:rsidR="008529C6" w:rsidRPr="008529C6" w:rsidRDefault="008529C6" w:rsidP="008529C6">
            <w:pPr>
              <w:suppressAutoHyphens w:val="0"/>
              <w:jc w:val="right"/>
              <w:rPr>
                <w:szCs w:val="24"/>
              </w:rPr>
            </w:pPr>
            <w:r w:rsidRPr="008529C6">
              <w:rPr>
                <w:szCs w:val="24"/>
              </w:rPr>
              <w:t>42 610</w:t>
            </w:r>
          </w:p>
        </w:tc>
        <w:tc>
          <w:tcPr>
            <w:tcW w:w="1300" w:type="dxa"/>
            <w:tcBorders>
              <w:top w:val="nil"/>
              <w:left w:val="single" w:sz="4" w:space="0" w:color="auto"/>
              <w:bottom w:val="single" w:sz="4" w:space="0" w:color="auto"/>
              <w:right w:val="single" w:sz="4" w:space="0" w:color="auto"/>
            </w:tcBorders>
          </w:tcPr>
          <w:p w:rsidR="008529C6" w:rsidRPr="008529C6" w:rsidRDefault="008529C6" w:rsidP="008529C6">
            <w:pPr>
              <w:suppressAutoHyphens w:val="0"/>
              <w:jc w:val="right"/>
              <w:rPr>
                <w:szCs w:val="24"/>
              </w:rPr>
            </w:pPr>
            <w:r w:rsidRPr="008529C6">
              <w:rPr>
                <w:szCs w:val="24"/>
              </w:rPr>
              <w:t>107 028</w:t>
            </w:r>
          </w:p>
        </w:tc>
        <w:tc>
          <w:tcPr>
            <w:tcW w:w="1120" w:type="dxa"/>
            <w:tcBorders>
              <w:top w:val="nil"/>
              <w:left w:val="nil"/>
              <w:bottom w:val="single" w:sz="4" w:space="0" w:color="auto"/>
              <w:right w:val="single" w:sz="4" w:space="0" w:color="auto"/>
            </w:tcBorders>
            <w:noWrap/>
            <w:vAlign w:val="center"/>
          </w:tcPr>
          <w:p w:rsidR="008529C6" w:rsidRPr="008529C6" w:rsidRDefault="008529C6" w:rsidP="008529C6">
            <w:pPr>
              <w:suppressAutoHyphens w:val="0"/>
              <w:jc w:val="right"/>
              <w:rPr>
                <w:szCs w:val="24"/>
              </w:rPr>
            </w:pPr>
            <w:r w:rsidRPr="008529C6">
              <w:rPr>
                <w:szCs w:val="24"/>
              </w:rPr>
              <w:t>149 638</w:t>
            </w:r>
          </w:p>
        </w:tc>
      </w:tr>
      <w:tr w:rsidR="008529C6" w:rsidRPr="008529C6" w:rsidTr="008529C6">
        <w:trPr>
          <w:trHeight w:val="300"/>
          <w:jc w:val="center"/>
        </w:trPr>
        <w:tc>
          <w:tcPr>
            <w:tcW w:w="4302" w:type="dxa"/>
            <w:tcBorders>
              <w:top w:val="single" w:sz="4" w:space="0" w:color="auto"/>
              <w:left w:val="single" w:sz="4" w:space="0" w:color="auto"/>
              <w:bottom w:val="nil"/>
              <w:right w:val="single" w:sz="4" w:space="0" w:color="auto"/>
            </w:tcBorders>
          </w:tcPr>
          <w:p w:rsidR="008529C6" w:rsidRPr="008529C6" w:rsidRDefault="008529C6" w:rsidP="008529C6">
            <w:pPr>
              <w:suppressAutoHyphens w:val="0"/>
              <w:jc w:val="both"/>
              <w:rPr>
                <w:szCs w:val="24"/>
              </w:rPr>
            </w:pPr>
            <w:r w:rsidRPr="008529C6">
              <w:rPr>
                <w:szCs w:val="24"/>
              </w:rPr>
              <w:t>FB tiszteletdíja</w:t>
            </w:r>
          </w:p>
        </w:tc>
        <w:tc>
          <w:tcPr>
            <w:tcW w:w="1030" w:type="dxa"/>
            <w:tcBorders>
              <w:top w:val="single" w:sz="4" w:space="0" w:color="auto"/>
              <w:left w:val="nil"/>
              <w:bottom w:val="nil"/>
              <w:right w:val="nil"/>
            </w:tcBorders>
            <w:vAlign w:val="center"/>
          </w:tcPr>
          <w:p w:rsidR="008529C6" w:rsidRPr="008529C6" w:rsidRDefault="008529C6" w:rsidP="008529C6">
            <w:pPr>
              <w:suppressAutoHyphens w:val="0"/>
              <w:jc w:val="right"/>
              <w:rPr>
                <w:szCs w:val="24"/>
              </w:rPr>
            </w:pPr>
          </w:p>
        </w:tc>
        <w:tc>
          <w:tcPr>
            <w:tcW w:w="1300" w:type="dxa"/>
            <w:tcBorders>
              <w:top w:val="single" w:sz="4" w:space="0" w:color="auto"/>
              <w:left w:val="single" w:sz="4" w:space="0" w:color="auto"/>
              <w:bottom w:val="nil"/>
              <w:right w:val="single" w:sz="4" w:space="0" w:color="auto"/>
            </w:tcBorders>
            <w:vAlign w:val="center"/>
          </w:tcPr>
          <w:p w:rsidR="008529C6" w:rsidRPr="008529C6" w:rsidRDefault="008529C6" w:rsidP="008529C6">
            <w:pPr>
              <w:suppressAutoHyphens w:val="0"/>
              <w:jc w:val="right"/>
              <w:rPr>
                <w:szCs w:val="24"/>
              </w:rPr>
            </w:pPr>
          </w:p>
        </w:tc>
        <w:tc>
          <w:tcPr>
            <w:tcW w:w="1120" w:type="dxa"/>
            <w:tcBorders>
              <w:top w:val="single" w:sz="4" w:space="0" w:color="auto"/>
              <w:left w:val="nil"/>
              <w:bottom w:val="nil"/>
              <w:right w:val="single" w:sz="4" w:space="0" w:color="auto"/>
            </w:tcBorders>
            <w:noWrap/>
            <w:vAlign w:val="center"/>
          </w:tcPr>
          <w:p w:rsidR="008529C6" w:rsidRPr="008529C6" w:rsidRDefault="008529C6" w:rsidP="008529C6">
            <w:pPr>
              <w:suppressAutoHyphens w:val="0"/>
              <w:jc w:val="right"/>
              <w:rPr>
                <w:szCs w:val="24"/>
              </w:rPr>
            </w:pPr>
            <w:r w:rsidRPr="008529C6">
              <w:rPr>
                <w:szCs w:val="24"/>
              </w:rPr>
              <w:t>600</w:t>
            </w:r>
          </w:p>
        </w:tc>
      </w:tr>
      <w:tr w:rsidR="008529C6" w:rsidRPr="008529C6" w:rsidTr="008529C6">
        <w:trPr>
          <w:trHeight w:val="300"/>
          <w:jc w:val="center"/>
        </w:trPr>
        <w:tc>
          <w:tcPr>
            <w:tcW w:w="4302" w:type="dxa"/>
            <w:tcBorders>
              <w:top w:val="single" w:sz="4" w:space="0" w:color="auto"/>
              <w:left w:val="single" w:sz="4" w:space="0" w:color="auto"/>
              <w:bottom w:val="nil"/>
              <w:right w:val="single" w:sz="4" w:space="0" w:color="auto"/>
            </w:tcBorders>
          </w:tcPr>
          <w:p w:rsidR="008529C6" w:rsidRPr="008529C6" w:rsidRDefault="008529C6" w:rsidP="008529C6">
            <w:pPr>
              <w:suppressAutoHyphens w:val="0"/>
              <w:jc w:val="both"/>
              <w:rPr>
                <w:szCs w:val="24"/>
              </w:rPr>
            </w:pPr>
            <w:r w:rsidRPr="008529C6">
              <w:rPr>
                <w:szCs w:val="24"/>
              </w:rPr>
              <w:t>Egyéb személyi jellegű költség (E Ft)</w:t>
            </w:r>
          </w:p>
        </w:tc>
        <w:tc>
          <w:tcPr>
            <w:tcW w:w="1030" w:type="dxa"/>
            <w:tcBorders>
              <w:top w:val="single" w:sz="4" w:space="0" w:color="auto"/>
              <w:left w:val="nil"/>
              <w:bottom w:val="nil"/>
              <w:right w:val="nil"/>
            </w:tcBorders>
            <w:vAlign w:val="center"/>
          </w:tcPr>
          <w:p w:rsidR="008529C6" w:rsidRPr="008529C6" w:rsidRDefault="008529C6" w:rsidP="008529C6">
            <w:pPr>
              <w:suppressAutoHyphens w:val="0"/>
              <w:jc w:val="right"/>
              <w:rPr>
                <w:szCs w:val="24"/>
              </w:rPr>
            </w:pPr>
            <w:r w:rsidRPr="008529C6">
              <w:rPr>
                <w:szCs w:val="24"/>
              </w:rPr>
              <w:t>1 483</w:t>
            </w:r>
          </w:p>
        </w:tc>
        <w:tc>
          <w:tcPr>
            <w:tcW w:w="1300" w:type="dxa"/>
            <w:tcBorders>
              <w:top w:val="single" w:sz="4" w:space="0" w:color="auto"/>
              <w:left w:val="single" w:sz="4" w:space="0" w:color="auto"/>
              <w:bottom w:val="nil"/>
              <w:right w:val="single" w:sz="4" w:space="0" w:color="auto"/>
            </w:tcBorders>
            <w:vAlign w:val="center"/>
          </w:tcPr>
          <w:p w:rsidR="008529C6" w:rsidRPr="008529C6" w:rsidRDefault="008529C6" w:rsidP="008529C6">
            <w:pPr>
              <w:suppressAutoHyphens w:val="0"/>
              <w:jc w:val="right"/>
              <w:rPr>
                <w:szCs w:val="24"/>
              </w:rPr>
            </w:pPr>
            <w:r w:rsidRPr="008529C6">
              <w:rPr>
                <w:szCs w:val="24"/>
              </w:rPr>
              <w:t>3 271</w:t>
            </w:r>
          </w:p>
        </w:tc>
        <w:tc>
          <w:tcPr>
            <w:tcW w:w="1120" w:type="dxa"/>
            <w:tcBorders>
              <w:top w:val="single" w:sz="4" w:space="0" w:color="auto"/>
              <w:left w:val="nil"/>
              <w:bottom w:val="nil"/>
              <w:right w:val="single" w:sz="4" w:space="0" w:color="auto"/>
            </w:tcBorders>
            <w:noWrap/>
            <w:vAlign w:val="center"/>
          </w:tcPr>
          <w:p w:rsidR="008529C6" w:rsidRPr="008529C6" w:rsidRDefault="008529C6" w:rsidP="008529C6">
            <w:pPr>
              <w:suppressAutoHyphens w:val="0"/>
              <w:jc w:val="right"/>
              <w:rPr>
                <w:szCs w:val="24"/>
              </w:rPr>
            </w:pPr>
            <w:r w:rsidRPr="008529C6">
              <w:rPr>
                <w:szCs w:val="24"/>
              </w:rPr>
              <w:t xml:space="preserve"> 4 754</w:t>
            </w:r>
          </w:p>
        </w:tc>
      </w:tr>
      <w:tr w:rsidR="008529C6" w:rsidRPr="008529C6" w:rsidTr="008529C6">
        <w:trPr>
          <w:trHeight w:val="300"/>
          <w:jc w:val="center"/>
        </w:trPr>
        <w:tc>
          <w:tcPr>
            <w:tcW w:w="4302" w:type="dxa"/>
            <w:tcBorders>
              <w:top w:val="nil"/>
              <w:left w:val="single" w:sz="4" w:space="0" w:color="auto"/>
              <w:bottom w:val="nil"/>
              <w:right w:val="single" w:sz="4" w:space="0" w:color="auto"/>
            </w:tcBorders>
          </w:tcPr>
          <w:p w:rsidR="008529C6" w:rsidRPr="008529C6" w:rsidRDefault="008529C6" w:rsidP="008529C6">
            <w:pPr>
              <w:suppressAutoHyphens w:val="0"/>
              <w:rPr>
                <w:szCs w:val="24"/>
              </w:rPr>
            </w:pPr>
            <w:r w:rsidRPr="008529C6">
              <w:rPr>
                <w:szCs w:val="24"/>
              </w:rPr>
              <w:t>Melynek tételei (E Ft):</w:t>
            </w:r>
          </w:p>
        </w:tc>
        <w:tc>
          <w:tcPr>
            <w:tcW w:w="1030" w:type="dxa"/>
            <w:tcBorders>
              <w:top w:val="nil"/>
              <w:left w:val="nil"/>
              <w:bottom w:val="nil"/>
              <w:right w:val="nil"/>
            </w:tcBorders>
            <w:vAlign w:val="center"/>
          </w:tcPr>
          <w:p w:rsidR="008529C6" w:rsidRPr="008529C6" w:rsidRDefault="008529C6" w:rsidP="008529C6">
            <w:pPr>
              <w:suppressAutoHyphens w:val="0"/>
              <w:jc w:val="right"/>
              <w:rPr>
                <w:szCs w:val="24"/>
              </w:rPr>
            </w:pPr>
          </w:p>
        </w:tc>
        <w:tc>
          <w:tcPr>
            <w:tcW w:w="1300" w:type="dxa"/>
            <w:tcBorders>
              <w:top w:val="nil"/>
              <w:left w:val="single" w:sz="4" w:space="0" w:color="auto"/>
              <w:bottom w:val="nil"/>
              <w:right w:val="single" w:sz="4" w:space="0" w:color="auto"/>
            </w:tcBorders>
            <w:vAlign w:val="center"/>
          </w:tcPr>
          <w:p w:rsidR="008529C6" w:rsidRPr="008529C6" w:rsidRDefault="008529C6" w:rsidP="008529C6">
            <w:pPr>
              <w:suppressAutoHyphens w:val="0"/>
              <w:jc w:val="right"/>
              <w:rPr>
                <w:szCs w:val="24"/>
              </w:rPr>
            </w:pPr>
            <w:r w:rsidRPr="008529C6">
              <w:rPr>
                <w:szCs w:val="24"/>
              </w:rPr>
              <w:t> </w:t>
            </w:r>
          </w:p>
        </w:tc>
        <w:tc>
          <w:tcPr>
            <w:tcW w:w="1120" w:type="dxa"/>
            <w:tcBorders>
              <w:top w:val="nil"/>
              <w:left w:val="nil"/>
              <w:bottom w:val="nil"/>
              <w:right w:val="single" w:sz="4" w:space="0" w:color="auto"/>
            </w:tcBorders>
            <w:noWrap/>
            <w:vAlign w:val="center"/>
          </w:tcPr>
          <w:p w:rsidR="008529C6" w:rsidRPr="008529C6" w:rsidRDefault="008529C6" w:rsidP="008529C6">
            <w:pPr>
              <w:suppressAutoHyphens w:val="0"/>
              <w:jc w:val="right"/>
              <w:rPr>
                <w:szCs w:val="24"/>
              </w:rPr>
            </w:pPr>
          </w:p>
        </w:tc>
      </w:tr>
      <w:tr w:rsidR="008529C6" w:rsidRPr="008529C6" w:rsidTr="008529C6">
        <w:trPr>
          <w:trHeight w:val="300"/>
          <w:jc w:val="center"/>
        </w:trPr>
        <w:tc>
          <w:tcPr>
            <w:tcW w:w="4302" w:type="dxa"/>
            <w:tcBorders>
              <w:top w:val="nil"/>
              <w:left w:val="single" w:sz="4" w:space="0" w:color="auto"/>
              <w:bottom w:val="nil"/>
              <w:right w:val="single" w:sz="4" w:space="0" w:color="auto"/>
            </w:tcBorders>
          </w:tcPr>
          <w:p w:rsidR="008529C6" w:rsidRPr="008529C6" w:rsidRDefault="008529C6" w:rsidP="008529C6">
            <w:pPr>
              <w:suppressAutoHyphens w:val="0"/>
              <w:rPr>
                <w:szCs w:val="24"/>
              </w:rPr>
            </w:pPr>
            <w:r w:rsidRPr="008529C6">
              <w:rPr>
                <w:szCs w:val="24"/>
              </w:rPr>
              <w:t xml:space="preserve">       Saját </w:t>
            </w:r>
            <w:proofErr w:type="spellStart"/>
            <w:r w:rsidRPr="008529C6">
              <w:rPr>
                <w:szCs w:val="24"/>
              </w:rPr>
              <w:t>gk</w:t>
            </w:r>
            <w:proofErr w:type="spellEnd"/>
            <w:r w:rsidRPr="008529C6">
              <w:rPr>
                <w:szCs w:val="24"/>
              </w:rPr>
              <w:t>. használat</w:t>
            </w:r>
          </w:p>
        </w:tc>
        <w:tc>
          <w:tcPr>
            <w:tcW w:w="1030" w:type="dxa"/>
            <w:tcBorders>
              <w:top w:val="nil"/>
              <w:left w:val="nil"/>
              <w:bottom w:val="nil"/>
              <w:right w:val="nil"/>
            </w:tcBorders>
            <w:vAlign w:val="center"/>
          </w:tcPr>
          <w:p w:rsidR="008529C6" w:rsidRPr="008529C6" w:rsidRDefault="008529C6" w:rsidP="008529C6">
            <w:pPr>
              <w:suppressAutoHyphens w:val="0"/>
              <w:jc w:val="right"/>
              <w:rPr>
                <w:szCs w:val="24"/>
              </w:rPr>
            </w:pPr>
            <w:r w:rsidRPr="008529C6">
              <w:rPr>
                <w:szCs w:val="24"/>
              </w:rPr>
              <w:t>1 170</w:t>
            </w:r>
          </w:p>
        </w:tc>
        <w:tc>
          <w:tcPr>
            <w:tcW w:w="1300" w:type="dxa"/>
            <w:tcBorders>
              <w:top w:val="nil"/>
              <w:left w:val="single" w:sz="4" w:space="0" w:color="auto"/>
              <w:bottom w:val="nil"/>
              <w:right w:val="single" w:sz="4" w:space="0" w:color="auto"/>
            </w:tcBorders>
            <w:vAlign w:val="center"/>
          </w:tcPr>
          <w:p w:rsidR="008529C6" w:rsidRPr="008529C6" w:rsidRDefault="008529C6" w:rsidP="008529C6">
            <w:pPr>
              <w:suppressAutoHyphens w:val="0"/>
              <w:jc w:val="right"/>
              <w:rPr>
                <w:szCs w:val="24"/>
              </w:rPr>
            </w:pPr>
            <w:r w:rsidRPr="008529C6">
              <w:rPr>
                <w:szCs w:val="24"/>
              </w:rPr>
              <w:t>119</w:t>
            </w:r>
          </w:p>
        </w:tc>
        <w:tc>
          <w:tcPr>
            <w:tcW w:w="1120" w:type="dxa"/>
            <w:tcBorders>
              <w:top w:val="nil"/>
              <w:left w:val="nil"/>
              <w:bottom w:val="nil"/>
              <w:right w:val="single" w:sz="4" w:space="0" w:color="auto"/>
            </w:tcBorders>
            <w:noWrap/>
            <w:vAlign w:val="center"/>
          </w:tcPr>
          <w:p w:rsidR="008529C6" w:rsidRPr="008529C6" w:rsidRDefault="008529C6" w:rsidP="008529C6">
            <w:pPr>
              <w:suppressAutoHyphens w:val="0"/>
              <w:jc w:val="right"/>
              <w:rPr>
                <w:szCs w:val="24"/>
              </w:rPr>
            </w:pPr>
            <w:r w:rsidRPr="008529C6">
              <w:rPr>
                <w:szCs w:val="24"/>
              </w:rPr>
              <w:t>1 289</w:t>
            </w:r>
          </w:p>
        </w:tc>
      </w:tr>
      <w:tr w:rsidR="008529C6" w:rsidRPr="008529C6" w:rsidTr="008529C6">
        <w:trPr>
          <w:trHeight w:val="300"/>
          <w:jc w:val="center"/>
        </w:trPr>
        <w:tc>
          <w:tcPr>
            <w:tcW w:w="4302" w:type="dxa"/>
            <w:tcBorders>
              <w:top w:val="nil"/>
              <w:left w:val="single" w:sz="4" w:space="0" w:color="auto"/>
              <w:bottom w:val="nil"/>
              <w:right w:val="single" w:sz="4" w:space="0" w:color="auto"/>
            </w:tcBorders>
          </w:tcPr>
          <w:p w:rsidR="008529C6" w:rsidRPr="008529C6" w:rsidRDefault="008529C6" w:rsidP="008529C6">
            <w:pPr>
              <w:suppressAutoHyphens w:val="0"/>
              <w:rPr>
                <w:szCs w:val="24"/>
              </w:rPr>
            </w:pPr>
            <w:r w:rsidRPr="008529C6">
              <w:rPr>
                <w:szCs w:val="24"/>
              </w:rPr>
              <w:t xml:space="preserve">       Betegszabadság</w:t>
            </w:r>
          </w:p>
        </w:tc>
        <w:tc>
          <w:tcPr>
            <w:tcW w:w="1030" w:type="dxa"/>
            <w:tcBorders>
              <w:top w:val="nil"/>
              <w:left w:val="nil"/>
              <w:bottom w:val="nil"/>
              <w:right w:val="nil"/>
            </w:tcBorders>
            <w:vAlign w:val="center"/>
          </w:tcPr>
          <w:p w:rsidR="008529C6" w:rsidRPr="008529C6" w:rsidRDefault="008529C6" w:rsidP="008529C6">
            <w:pPr>
              <w:suppressAutoHyphens w:val="0"/>
              <w:jc w:val="right"/>
              <w:rPr>
                <w:szCs w:val="24"/>
              </w:rPr>
            </w:pPr>
            <w:r w:rsidRPr="008529C6">
              <w:rPr>
                <w:szCs w:val="24"/>
              </w:rPr>
              <w:t xml:space="preserve">23          </w:t>
            </w:r>
          </w:p>
        </w:tc>
        <w:tc>
          <w:tcPr>
            <w:tcW w:w="1300" w:type="dxa"/>
            <w:tcBorders>
              <w:top w:val="nil"/>
              <w:left w:val="single" w:sz="4" w:space="0" w:color="auto"/>
              <w:bottom w:val="nil"/>
              <w:right w:val="single" w:sz="4" w:space="0" w:color="auto"/>
            </w:tcBorders>
            <w:vAlign w:val="center"/>
          </w:tcPr>
          <w:p w:rsidR="008529C6" w:rsidRPr="008529C6" w:rsidRDefault="008529C6" w:rsidP="008529C6">
            <w:pPr>
              <w:suppressAutoHyphens w:val="0"/>
              <w:jc w:val="right"/>
              <w:rPr>
                <w:szCs w:val="24"/>
              </w:rPr>
            </w:pPr>
            <w:r w:rsidRPr="008529C6">
              <w:rPr>
                <w:szCs w:val="24"/>
              </w:rPr>
              <w:t>1 965</w:t>
            </w:r>
          </w:p>
        </w:tc>
        <w:tc>
          <w:tcPr>
            <w:tcW w:w="1120" w:type="dxa"/>
            <w:tcBorders>
              <w:top w:val="nil"/>
              <w:left w:val="nil"/>
              <w:bottom w:val="nil"/>
              <w:right w:val="single" w:sz="4" w:space="0" w:color="auto"/>
            </w:tcBorders>
            <w:noWrap/>
            <w:vAlign w:val="center"/>
          </w:tcPr>
          <w:p w:rsidR="008529C6" w:rsidRPr="008529C6" w:rsidRDefault="008529C6" w:rsidP="008529C6">
            <w:pPr>
              <w:suppressAutoHyphens w:val="0"/>
              <w:jc w:val="right"/>
              <w:rPr>
                <w:szCs w:val="24"/>
              </w:rPr>
            </w:pPr>
            <w:r w:rsidRPr="008529C6">
              <w:rPr>
                <w:szCs w:val="24"/>
              </w:rPr>
              <w:t xml:space="preserve">       1 988</w:t>
            </w:r>
          </w:p>
        </w:tc>
      </w:tr>
      <w:tr w:rsidR="008529C6" w:rsidRPr="008529C6" w:rsidTr="008529C6">
        <w:trPr>
          <w:trHeight w:val="300"/>
          <w:jc w:val="center"/>
        </w:trPr>
        <w:tc>
          <w:tcPr>
            <w:tcW w:w="4302" w:type="dxa"/>
            <w:tcBorders>
              <w:top w:val="nil"/>
              <w:left w:val="single" w:sz="4" w:space="0" w:color="auto"/>
              <w:bottom w:val="nil"/>
              <w:right w:val="single" w:sz="4" w:space="0" w:color="auto"/>
            </w:tcBorders>
          </w:tcPr>
          <w:p w:rsidR="008529C6" w:rsidRPr="008529C6" w:rsidRDefault="008529C6" w:rsidP="008529C6">
            <w:pPr>
              <w:suppressAutoHyphens w:val="0"/>
              <w:rPr>
                <w:szCs w:val="24"/>
              </w:rPr>
            </w:pPr>
            <w:r w:rsidRPr="008529C6">
              <w:rPr>
                <w:szCs w:val="24"/>
              </w:rPr>
              <w:t xml:space="preserve">       Táppénz hozzájárulás</w:t>
            </w:r>
          </w:p>
        </w:tc>
        <w:tc>
          <w:tcPr>
            <w:tcW w:w="1030" w:type="dxa"/>
            <w:tcBorders>
              <w:top w:val="nil"/>
              <w:left w:val="nil"/>
              <w:bottom w:val="nil"/>
              <w:right w:val="nil"/>
            </w:tcBorders>
            <w:vAlign w:val="center"/>
          </w:tcPr>
          <w:p w:rsidR="008529C6" w:rsidRPr="008529C6" w:rsidRDefault="008529C6" w:rsidP="008529C6">
            <w:pPr>
              <w:suppressAutoHyphens w:val="0"/>
              <w:jc w:val="right"/>
              <w:rPr>
                <w:szCs w:val="24"/>
              </w:rPr>
            </w:pPr>
          </w:p>
        </w:tc>
        <w:tc>
          <w:tcPr>
            <w:tcW w:w="1300" w:type="dxa"/>
            <w:tcBorders>
              <w:top w:val="nil"/>
              <w:left w:val="single" w:sz="4" w:space="0" w:color="auto"/>
              <w:bottom w:val="nil"/>
              <w:right w:val="single" w:sz="4" w:space="0" w:color="auto"/>
            </w:tcBorders>
            <w:vAlign w:val="center"/>
          </w:tcPr>
          <w:p w:rsidR="008529C6" w:rsidRPr="008529C6" w:rsidRDefault="008529C6" w:rsidP="008529C6">
            <w:pPr>
              <w:suppressAutoHyphens w:val="0"/>
              <w:jc w:val="right"/>
              <w:rPr>
                <w:szCs w:val="24"/>
              </w:rPr>
            </w:pPr>
            <w:r w:rsidRPr="008529C6">
              <w:rPr>
                <w:szCs w:val="24"/>
              </w:rPr>
              <w:t>564</w:t>
            </w:r>
          </w:p>
        </w:tc>
        <w:tc>
          <w:tcPr>
            <w:tcW w:w="1120" w:type="dxa"/>
            <w:tcBorders>
              <w:top w:val="nil"/>
              <w:left w:val="nil"/>
              <w:bottom w:val="nil"/>
              <w:right w:val="single" w:sz="4" w:space="0" w:color="auto"/>
            </w:tcBorders>
            <w:noWrap/>
            <w:vAlign w:val="center"/>
          </w:tcPr>
          <w:p w:rsidR="008529C6" w:rsidRPr="008529C6" w:rsidRDefault="008529C6" w:rsidP="008529C6">
            <w:pPr>
              <w:suppressAutoHyphens w:val="0"/>
              <w:jc w:val="right"/>
              <w:rPr>
                <w:szCs w:val="24"/>
              </w:rPr>
            </w:pPr>
            <w:r w:rsidRPr="008529C6">
              <w:rPr>
                <w:szCs w:val="24"/>
              </w:rPr>
              <w:t>564</w:t>
            </w:r>
          </w:p>
        </w:tc>
      </w:tr>
      <w:tr w:rsidR="008529C6" w:rsidRPr="008529C6" w:rsidTr="008529C6">
        <w:trPr>
          <w:trHeight w:val="300"/>
          <w:jc w:val="center"/>
        </w:trPr>
        <w:tc>
          <w:tcPr>
            <w:tcW w:w="4302" w:type="dxa"/>
            <w:tcBorders>
              <w:top w:val="nil"/>
              <w:left w:val="single" w:sz="4" w:space="0" w:color="auto"/>
              <w:right w:val="single" w:sz="4" w:space="0" w:color="auto"/>
            </w:tcBorders>
          </w:tcPr>
          <w:p w:rsidR="008529C6" w:rsidRPr="008529C6" w:rsidRDefault="008529C6" w:rsidP="008529C6">
            <w:pPr>
              <w:suppressAutoHyphens w:val="0"/>
            </w:pPr>
            <w:r w:rsidRPr="008529C6">
              <w:t xml:space="preserve">       Természetbeni juttatás + SZJA+SZHA</w:t>
            </w:r>
          </w:p>
        </w:tc>
        <w:tc>
          <w:tcPr>
            <w:tcW w:w="1030" w:type="dxa"/>
            <w:tcBorders>
              <w:top w:val="nil"/>
              <w:left w:val="nil"/>
              <w:right w:val="nil"/>
            </w:tcBorders>
            <w:vAlign w:val="center"/>
          </w:tcPr>
          <w:p w:rsidR="008529C6" w:rsidRPr="008529C6" w:rsidRDefault="008529C6" w:rsidP="008529C6">
            <w:pPr>
              <w:suppressAutoHyphens w:val="0"/>
              <w:jc w:val="right"/>
              <w:rPr>
                <w:szCs w:val="24"/>
              </w:rPr>
            </w:pPr>
            <w:r w:rsidRPr="008529C6">
              <w:rPr>
                <w:szCs w:val="24"/>
              </w:rPr>
              <w:t>116</w:t>
            </w:r>
          </w:p>
        </w:tc>
        <w:tc>
          <w:tcPr>
            <w:tcW w:w="1300" w:type="dxa"/>
            <w:tcBorders>
              <w:top w:val="nil"/>
              <w:left w:val="single" w:sz="4" w:space="0" w:color="auto"/>
              <w:right w:val="single" w:sz="4" w:space="0" w:color="auto"/>
            </w:tcBorders>
            <w:vAlign w:val="center"/>
          </w:tcPr>
          <w:p w:rsidR="008529C6" w:rsidRPr="008529C6" w:rsidRDefault="008529C6" w:rsidP="008529C6">
            <w:pPr>
              <w:suppressAutoHyphens w:val="0"/>
              <w:jc w:val="right"/>
            </w:pPr>
            <w:r w:rsidRPr="008529C6">
              <w:t>464</w:t>
            </w:r>
          </w:p>
        </w:tc>
        <w:tc>
          <w:tcPr>
            <w:tcW w:w="1120" w:type="dxa"/>
            <w:tcBorders>
              <w:top w:val="nil"/>
              <w:left w:val="nil"/>
              <w:right w:val="single" w:sz="4" w:space="0" w:color="auto"/>
            </w:tcBorders>
            <w:noWrap/>
            <w:vAlign w:val="center"/>
          </w:tcPr>
          <w:p w:rsidR="008529C6" w:rsidRPr="008529C6" w:rsidRDefault="008529C6" w:rsidP="008529C6">
            <w:pPr>
              <w:suppressAutoHyphens w:val="0"/>
              <w:jc w:val="right"/>
              <w:rPr>
                <w:szCs w:val="24"/>
              </w:rPr>
            </w:pPr>
            <w:r w:rsidRPr="008529C6">
              <w:rPr>
                <w:szCs w:val="24"/>
              </w:rPr>
              <w:t>580</w:t>
            </w:r>
          </w:p>
        </w:tc>
      </w:tr>
      <w:tr w:rsidR="008529C6" w:rsidRPr="008529C6" w:rsidTr="008529C6">
        <w:trPr>
          <w:trHeight w:val="300"/>
          <w:jc w:val="center"/>
        </w:trPr>
        <w:tc>
          <w:tcPr>
            <w:tcW w:w="4302" w:type="dxa"/>
            <w:tcBorders>
              <w:top w:val="nil"/>
              <w:left w:val="single" w:sz="4" w:space="0" w:color="auto"/>
              <w:bottom w:val="single" w:sz="4" w:space="0" w:color="auto"/>
              <w:right w:val="single" w:sz="4" w:space="0" w:color="auto"/>
            </w:tcBorders>
          </w:tcPr>
          <w:p w:rsidR="008529C6" w:rsidRPr="008529C6" w:rsidRDefault="008529C6" w:rsidP="008529C6">
            <w:pPr>
              <w:suppressAutoHyphens w:val="0"/>
              <w:jc w:val="center"/>
            </w:pPr>
            <w:r w:rsidRPr="008529C6">
              <w:t xml:space="preserve">  Utazási költségtér. kiküld. rendelv.</w:t>
            </w:r>
          </w:p>
        </w:tc>
        <w:tc>
          <w:tcPr>
            <w:tcW w:w="1030" w:type="dxa"/>
            <w:tcBorders>
              <w:top w:val="nil"/>
              <w:left w:val="single" w:sz="4" w:space="0" w:color="auto"/>
              <w:bottom w:val="single" w:sz="4" w:space="0" w:color="auto"/>
              <w:right w:val="single" w:sz="4" w:space="0" w:color="auto"/>
            </w:tcBorders>
            <w:vAlign w:val="center"/>
          </w:tcPr>
          <w:p w:rsidR="008529C6" w:rsidRPr="008529C6" w:rsidRDefault="008529C6" w:rsidP="008529C6">
            <w:pPr>
              <w:suppressAutoHyphens w:val="0"/>
              <w:jc w:val="right"/>
              <w:rPr>
                <w:szCs w:val="24"/>
              </w:rPr>
            </w:pPr>
            <w:r w:rsidRPr="008529C6">
              <w:rPr>
                <w:szCs w:val="24"/>
              </w:rPr>
              <w:t>174</w:t>
            </w:r>
          </w:p>
        </w:tc>
        <w:tc>
          <w:tcPr>
            <w:tcW w:w="1300" w:type="dxa"/>
            <w:tcBorders>
              <w:top w:val="nil"/>
              <w:left w:val="single" w:sz="4" w:space="0" w:color="auto"/>
              <w:bottom w:val="single" w:sz="4" w:space="0" w:color="auto"/>
              <w:right w:val="single" w:sz="4" w:space="0" w:color="auto"/>
            </w:tcBorders>
            <w:vAlign w:val="center"/>
          </w:tcPr>
          <w:p w:rsidR="008529C6" w:rsidRPr="008529C6" w:rsidRDefault="008529C6" w:rsidP="008529C6">
            <w:pPr>
              <w:suppressAutoHyphens w:val="0"/>
              <w:jc w:val="right"/>
            </w:pPr>
            <w:r w:rsidRPr="008529C6">
              <w:rPr>
                <w:sz w:val="20"/>
              </w:rPr>
              <w:t> </w:t>
            </w:r>
            <w:r w:rsidRPr="008529C6">
              <w:t>159</w:t>
            </w:r>
          </w:p>
        </w:tc>
        <w:tc>
          <w:tcPr>
            <w:tcW w:w="1120" w:type="dxa"/>
            <w:tcBorders>
              <w:top w:val="nil"/>
              <w:left w:val="single" w:sz="4" w:space="0" w:color="auto"/>
              <w:bottom w:val="single" w:sz="4" w:space="0" w:color="auto"/>
              <w:right w:val="single" w:sz="4" w:space="0" w:color="auto"/>
            </w:tcBorders>
            <w:noWrap/>
            <w:vAlign w:val="center"/>
          </w:tcPr>
          <w:p w:rsidR="008529C6" w:rsidRPr="008529C6" w:rsidRDefault="008529C6" w:rsidP="008529C6">
            <w:pPr>
              <w:suppressAutoHyphens w:val="0"/>
              <w:jc w:val="right"/>
              <w:rPr>
                <w:szCs w:val="24"/>
              </w:rPr>
            </w:pPr>
            <w:r w:rsidRPr="008529C6">
              <w:rPr>
                <w:szCs w:val="24"/>
              </w:rPr>
              <w:t>333</w:t>
            </w:r>
          </w:p>
        </w:tc>
      </w:tr>
    </w:tbl>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Az előbbi adatokból az ügyvezető részére történt kifizetések:</w:t>
      </w:r>
    </w:p>
    <w:p w:rsidR="008529C6" w:rsidRPr="008529C6" w:rsidRDefault="008529C6" w:rsidP="008529C6">
      <w:pPr>
        <w:suppressAutoHyphens w:val="0"/>
        <w:overflowPunct w:val="0"/>
        <w:autoSpaceDE w:val="0"/>
        <w:autoSpaceDN w:val="0"/>
        <w:adjustRightInd w:val="0"/>
        <w:jc w:val="both"/>
        <w:rPr>
          <w:szCs w:val="24"/>
        </w:rPr>
      </w:pPr>
    </w:p>
    <w:tbl>
      <w:tblPr>
        <w:tblW w:w="4840" w:type="dxa"/>
        <w:jc w:val="center"/>
        <w:tblInd w:w="55" w:type="dxa"/>
        <w:tblCellMar>
          <w:left w:w="70" w:type="dxa"/>
          <w:right w:w="70" w:type="dxa"/>
        </w:tblCellMar>
        <w:tblLook w:val="0000" w:firstRow="0" w:lastRow="0" w:firstColumn="0" w:lastColumn="0" w:noHBand="0" w:noVBand="0"/>
      </w:tblPr>
      <w:tblGrid>
        <w:gridCol w:w="3684"/>
        <w:gridCol w:w="1156"/>
      </w:tblGrid>
      <w:tr w:rsidR="008529C6" w:rsidRPr="008529C6" w:rsidTr="008529C6">
        <w:trPr>
          <w:trHeight w:val="315"/>
          <w:jc w:val="center"/>
        </w:trPr>
        <w:tc>
          <w:tcPr>
            <w:tcW w:w="3684" w:type="dxa"/>
            <w:tcBorders>
              <w:top w:val="single" w:sz="4" w:space="0" w:color="auto"/>
              <w:left w:val="single" w:sz="4" w:space="0" w:color="auto"/>
              <w:bottom w:val="single" w:sz="4" w:space="0" w:color="auto"/>
              <w:right w:val="single" w:sz="4" w:space="0" w:color="auto"/>
            </w:tcBorders>
          </w:tcPr>
          <w:p w:rsidR="008529C6" w:rsidRPr="008529C6" w:rsidRDefault="008529C6" w:rsidP="008529C6">
            <w:pPr>
              <w:suppressAutoHyphens w:val="0"/>
              <w:jc w:val="both"/>
              <w:rPr>
                <w:szCs w:val="24"/>
              </w:rPr>
            </w:pPr>
            <w:r w:rsidRPr="008529C6">
              <w:rPr>
                <w:szCs w:val="24"/>
              </w:rPr>
              <w:t xml:space="preserve">Bér </w:t>
            </w:r>
          </w:p>
        </w:tc>
        <w:tc>
          <w:tcPr>
            <w:tcW w:w="1156" w:type="dxa"/>
            <w:tcBorders>
              <w:top w:val="single" w:sz="4" w:space="0" w:color="auto"/>
              <w:left w:val="nil"/>
              <w:bottom w:val="single" w:sz="4" w:space="0" w:color="auto"/>
              <w:right w:val="single" w:sz="4" w:space="0" w:color="auto"/>
            </w:tcBorders>
          </w:tcPr>
          <w:p w:rsidR="008529C6" w:rsidRPr="008529C6" w:rsidRDefault="008529C6" w:rsidP="008529C6">
            <w:pPr>
              <w:suppressAutoHyphens w:val="0"/>
              <w:jc w:val="right"/>
              <w:rPr>
                <w:szCs w:val="24"/>
              </w:rPr>
            </w:pPr>
            <w:r w:rsidRPr="008529C6">
              <w:rPr>
                <w:szCs w:val="24"/>
              </w:rPr>
              <w:t>6 660</w:t>
            </w:r>
          </w:p>
        </w:tc>
      </w:tr>
      <w:tr w:rsidR="008529C6" w:rsidRPr="008529C6" w:rsidTr="008529C6">
        <w:trPr>
          <w:trHeight w:val="315"/>
          <w:jc w:val="center"/>
        </w:trPr>
        <w:tc>
          <w:tcPr>
            <w:tcW w:w="3684" w:type="dxa"/>
            <w:tcBorders>
              <w:top w:val="nil"/>
              <w:left w:val="single" w:sz="4" w:space="0" w:color="auto"/>
              <w:bottom w:val="single" w:sz="4" w:space="0" w:color="auto"/>
              <w:right w:val="single" w:sz="4" w:space="0" w:color="auto"/>
            </w:tcBorders>
          </w:tcPr>
          <w:p w:rsidR="008529C6" w:rsidRPr="008529C6" w:rsidRDefault="008529C6" w:rsidP="008529C6">
            <w:pPr>
              <w:suppressAutoHyphens w:val="0"/>
              <w:jc w:val="both"/>
              <w:rPr>
                <w:szCs w:val="24"/>
              </w:rPr>
            </w:pPr>
            <w:r w:rsidRPr="008529C6">
              <w:rPr>
                <w:szCs w:val="24"/>
              </w:rPr>
              <w:t>Ügyvezetőnek adott költségtérítés</w:t>
            </w:r>
          </w:p>
        </w:tc>
        <w:tc>
          <w:tcPr>
            <w:tcW w:w="1156" w:type="dxa"/>
            <w:tcBorders>
              <w:top w:val="nil"/>
              <w:left w:val="nil"/>
              <w:bottom w:val="single" w:sz="4" w:space="0" w:color="auto"/>
              <w:right w:val="single" w:sz="4" w:space="0" w:color="auto"/>
            </w:tcBorders>
            <w:vAlign w:val="center"/>
          </w:tcPr>
          <w:p w:rsidR="008529C6" w:rsidRPr="008529C6" w:rsidRDefault="008529C6" w:rsidP="008529C6">
            <w:pPr>
              <w:suppressAutoHyphens w:val="0"/>
              <w:jc w:val="right"/>
              <w:rPr>
                <w:szCs w:val="24"/>
              </w:rPr>
            </w:pPr>
            <w:r w:rsidRPr="008529C6">
              <w:rPr>
                <w:szCs w:val="24"/>
              </w:rPr>
              <w:t>653</w:t>
            </w:r>
          </w:p>
        </w:tc>
      </w:tr>
    </w:tbl>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 xml:space="preserve">A Törökszentmiklósi Kommunális Szolgáltató Nonprofit Kft-nél Felügyelő </w:t>
      </w:r>
      <w:proofErr w:type="gramStart"/>
      <w:r w:rsidRPr="008529C6">
        <w:rPr>
          <w:szCs w:val="24"/>
        </w:rPr>
        <w:t>Bizottság  működik</w:t>
      </w:r>
      <w:proofErr w:type="gramEnd"/>
      <w:r w:rsidRPr="008529C6">
        <w:rPr>
          <w:szCs w:val="24"/>
        </w:rPr>
        <w:t>.</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pPr>
      <w:r w:rsidRPr="008529C6">
        <w:t>A Felügyelő Bizottság 3 tagból áll, 2019. évben részükre kifizetett tiszteletdíj összege összesen 600 E Ft.</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pPr>
      <w:r w:rsidRPr="008529C6">
        <w:t>A Felügyelő Bizottság javadalmazása a 142/2015. (V.28.) Kt. számú és a 258/2017. (XII.01.) Kt. számú határozatokkal jóváhagyott díjazás szerint történt.</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pPr>
      <w:r w:rsidRPr="008529C6">
        <w:rPr>
          <w:szCs w:val="24"/>
        </w:rPr>
        <w:t>A Társaság az ügyvezetőnek, illetve a Felügyelő Bizottság tagjainak kölcsönt nem adott, garanciát nem nyújtott.</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 veszélyes hulladékok mennyiségének alakulását a következő tábla mutatja.</w:t>
      </w:r>
    </w:p>
    <w:p w:rsidR="008529C6" w:rsidRPr="008529C6" w:rsidRDefault="008529C6" w:rsidP="008529C6">
      <w:pPr>
        <w:suppressAutoHyphens w:val="0"/>
        <w:overflowPunct w:val="0"/>
        <w:autoSpaceDE w:val="0"/>
        <w:autoSpaceDN w:val="0"/>
        <w:adjustRightInd w:val="0"/>
        <w:jc w:val="both"/>
        <w:rPr>
          <w:szCs w:val="24"/>
        </w:rPr>
      </w:pPr>
    </w:p>
    <w:tbl>
      <w:tblPr>
        <w:tblW w:w="8360" w:type="dxa"/>
        <w:jc w:val="center"/>
        <w:tblInd w:w="75" w:type="dxa"/>
        <w:tblCellMar>
          <w:left w:w="70" w:type="dxa"/>
          <w:right w:w="70" w:type="dxa"/>
        </w:tblCellMar>
        <w:tblLook w:val="04A0" w:firstRow="1" w:lastRow="0" w:firstColumn="1" w:lastColumn="0" w:noHBand="0" w:noVBand="1"/>
      </w:tblPr>
      <w:tblGrid>
        <w:gridCol w:w="3600"/>
        <w:gridCol w:w="1140"/>
        <w:gridCol w:w="1300"/>
        <w:gridCol w:w="1160"/>
        <w:gridCol w:w="1160"/>
      </w:tblGrid>
      <w:tr w:rsidR="008529C6" w:rsidRPr="008529C6" w:rsidTr="008529C6">
        <w:trPr>
          <w:trHeight w:val="255"/>
          <w:jc w:val="center"/>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both"/>
              <w:rPr>
                <w:sz w:val="20"/>
              </w:rPr>
            </w:pPr>
            <w:r w:rsidRPr="008529C6">
              <w:rPr>
                <w:sz w:val="20"/>
              </w:rPr>
              <w:t>Veszélyes hulladék fajtája (kg)</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 xml:space="preserve">Nyitó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 xml:space="preserve">Növekedés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Csökkenés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Záró</w:t>
            </w:r>
          </w:p>
        </w:tc>
      </w:tr>
      <w:tr w:rsidR="008529C6" w:rsidRPr="008529C6" w:rsidTr="008529C6">
        <w:trPr>
          <w:trHeight w:val="255"/>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both"/>
              <w:rPr>
                <w:sz w:val="20"/>
              </w:rPr>
            </w:pPr>
            <w:r w:rsidRPr="008529C6">
              <w:rPr>
                <w:sz w:val="20"/>
              </w:rPr>
              <w:t>olajos hulladék</w:t>
            </w:r>
          </w:p>
        </w:tc>
        <w:tc>
          <w:tcPr>
            <w:tcW w:w="114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0</w:t>
            </w:r>
          </w:p>
        </w:tc>
        <w:tc>
          <w:tcPr>
            <w:tcW w:w="130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0</w:t>
            </w:r>
          </w:p>
        </w:tc>
      </w:tr>
      <w:tr w:rsidR="008529C6" w:rsidRPr="008529C6" w:rsidTr="008529C6">
        <w:trPr>
          <w:trHeight w:val="255"/>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both"/>
              <w:rPr>
                <w:sz w:val="20"/>
              </w:rPr>
            </w:pPr>
            <w:r w:rsidRPr="008529C6">
              <w:rPr>
                <w:sz w:val="20"/>
              </w:rPr>
              <w:t>olajos flakon, olajos, festékes fém</w:t>
            </w:r>
          </w:p>
        </w:tc>
        <w:tc>
          <w:tcPr>
            <w:tcW w:w="114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5</w:t>
            </w:r>
          </w:p>
        </w:tc>
        <w:tc>
          <w:tcPr>
            <w:tcW w:w="130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15</w:t>
            </w:r>
          </w:p>
        </w:tc>
        <w:tc>
          <w:tcPr>
            <w:tcW w:w="11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20</w:t>
            </w:r>
          </w:p>
        </w:tc>
        <w:tc>
          <w:tcPr>
            <w:tcW w:w="11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0</w:t>
            </w:r>
          </w:p>
        </w:tc>
      </w:tr>
      <w:tr w:rsidR="008529C6" w:rsidRPr="008529C6" w:rsidTr="008529C6">
        <w:trPr>
          <w:trHeight w:val="255"/>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both"/>
              <w:rPr>
                <w:sz w:val="20"/>
              </w:rPr>
            </w:pPr>
            <w:r w:rsidRPr="008529C6">
              <w:rPr>
                <w:sz w:val="20"/>
              </w:rPr>
              <w:t>fáradt olaj</w:t>
            </w:r>
          </w:p>
        </w:tc>
        <w:tc>
          <w:tcPr>
            <w:tcW w:w="114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20</w:t>
            </w:r>
          </w:p>
        </w:tc>
        <w:tc>
          <w:tcPr>
            <w:tcW w:w="130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65</w:t>
            </w:r>
          </w:p>
        </w:tc>
        <w:tc>
          <w:tcPr>
            <w:tcW w:w="11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85</w:t>
            </w:r>
          </w:p>
        </w:tc>
        <w:tc>
          <w:tcPr>
            <w:tcW w:w="11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0</w:t>
            </w:r>
          </w:p>
        </w:tc>
      </w:tr>
      <w:tr w:rsidR="008529C6" w:rsidRPr="008529C6" w:rsidTr="008529C6">
        <w:trPr>
          <w:trHeight w:val="255"/>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both"/>
              <w:rPr>
                <w:sz w:val="20"/>
              </w:rPr>
            </w:pPr>
            <w:r w:rsidRPr="008529C6">
              <w:rPr>
                <w:sz w:val="20"/>
              </w:rPr>
              <w:t>irodatechnikai hulladékok</w:t>
            </w:r>
          </w:p>
        </w:tc>
        <w:tc>
          <w:tcPr>
            <w:tcW w:w="114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1</w:t>
            </w:r>
          </w:p>
        </w:tc>
        <w:tc>
          <w:tcPr>
            <w:tcW w:w="11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2</w:t>
            </w:r>
          </w:p>
        </w:tc>
        <w:tc>
          <w:tcPr>
            <w:tcW w:w="11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0</w:t>
            </w:r>
          </w:p>
        </w:tc>
      </w:tr>
      <w:tr w:rsidR="008529C6" w:rsidRPr="008529C6" w:rsidTr="008529C6">
        <w:trPr>
          <w:trHeight w:val="255"/>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both"/>
              <w:rPr>
                <w:sz w:val="20"/>
              </w:rPr>
            </w:pPr>
            <w:r w:rsidRPr="008529C6">
              <w:rPr>
                <w:sz w:val="20"/>
              </w:rPr>
              <w:t>olajszűrő (hulladék)</w:t>
            </w:r>
          </w:p>
        </w:tc>
        <w:tc>
          <w:tcPr>
            <w:tcW w:w="114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0</w:t>
            </w:r>
          </w:p>
        </w:tc>
        <w:tc>
          <w:tcPr>
            <w:tcW w:w="130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jc w:val="right"/>
              <w:rPr>
                <w:sz w:val="20"/>
              </w:rPr>
            </w:pPr>
            <w:r w:rsidRPr="008529C6">
              <w:rPr>
                <w:sz w:val="20"/>
              </w:rPr>
              <w:t>0</w:t>
            </w:r>
          </w:p>
        </w:tc>
      </w:tr>
    </w:tbl>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 Társaságnál keletkezett veszélyes hulladékok szerződés alapján elszállításra kerültek 2019. évben egy alkalommal.</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Társaságunknál felmértük és értékeltük a COVID-19 járványügyi helyzetnek a Társaság pénzügyi- és vagyoni helyzetére, valamint jövőbeni működőképességére gyakorolt hatását a meghozott kormányzati és egyéb intézkedések figyelembe vételével.</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 xml:space="preserve">Értékelésünk eredményeképpen megállapítottuk, hogy a piactér, a strand és kemping üzemeltetésénél árbevétel kiesés, és a védekezés miatti </w:t>
      </w:r>
      <w:proofErr w:type="gramStart"/>
      <w:r w:rsidRPr="008529C6">
        <w:rPr>
          <w:szCs w:val="24"/>
        </w:rPr>
        <w:t>költség növekedés</w:t>
      </w:r>
      <w:proofErr w:type="gramEnd"/>
      <w:r w:rsidRPr="008529C6">
        <w:rPr>
          <w:szCs w:val="24"/>
        </w:rPr>
        <w:t xml:space="preserve"> várható. A beszámoló készítésekor ez még nem számszerűsíthető.</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Arra a következtetésre jutottunk, hogy a beazonosított hatások nincsenek olyan jelentős vagy számottevően negatív hatással a Társaság rövid távú (a mérleg fordulónapját követő 12 hónapot átfogó időszakra vonatkozó) pénzügyi- és likviditási helyzetére, az eszközök mérlegben bemutatott értékelésére, valamint a Társaság ezen időszakon belüli üzleti működésére, amely lényegesen befolyásolná, vagy lényegesen bizonytalanná tenné a Társaságnak a vállalkozás folytatására vonatkozó képességét.</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r w:rsidRPr="008529C6">
        <w:rPr>
          <w:szCs w:val="24"/>
        </w:rPr>
        <w:t>Törökszentmiklós, 2020. május 11.</w:t>
      </w: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pPr>
      <w:r w:rsidRPr="008529C6">
        <w:rPr>
          <w:szCs w:val="24"/>
        </w:rPr>
        <w:t xml:space="preserve">                                                                                         </w:t>
      </w:r>
      <w:r w:rsidRPr="008529C6">
        <w:rPr>
          <w:szCs w:val="24"/>
        </w:rPr>
        <w:tab/>
      </w:r>
      <w:r w:rsidRPr="008529C6">
        <w:rPr>
          <w:szCs w:val="24"/>
        </w:rPr>
        <w:tab/>
        <w:t xml:space="preserve">      Róth Ervin</w:t>
      </w:r>
    </w:p>
    <w:p w:rsidR="008529C6" w:rsidRPr="008529C6" w:rsidRDefault="008529C6" w:rsidP="008529C6">
      <w:pPr>
        <w:suppressAutoHyphens w:val="0"/>
        <w:overflowPunct w:val="0"/>
        <w:autoSpaceDE w:val="0"/>
        <w:autoSpaceDN w:val="0"/>
        <w:adjustRightInd w:val="0"/>
        <w:jc w:val="both"/>
        <w:rPr>
          <w:szCs w:val="24"/>
        </w:rPr>
      </w:pPr>
      <w:r w:rsidRPr="008529C6">
        <w:rPr>
          <w:szCs w:val="24"/>
        </w:rPr>
        <w:t xml:space="preserve">                                                                        </w:t>
      </w:r>
      <w:r w:rsidRPr="008529C6">
        <w:rPr>
          <w:szCs w:val="24"/>
        </w:rPr>
        <w:tab/>
      </w:r>
      <w:r w:rsidRPr="008529C6">
        <w:rPr>
          <w:szCs w:val="24"/>
        </w:rPr>
        <w:tab/>
        <w:t xml:space="preserve">                  </w:t>
      </w:r>
      <w:proofErr w:type="gramStart"/>
      <w:r w:rsidRPr="008529C6">
        <w:rPr>
          <w:szCs w:val="24"/>
        </w:rPr>
        <w:t>ügyvezető</w:t>
      </w:r>
      <w:proofErr w:type="gramEnd"/>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rPr>
          <w:szCs w:val="24"/>
        </w:rPr>
      </w:pPr>
    </w:p>
    <w:p w:rsidR="008529C6" w:rsidRPr="008529C6" w:rsidRDefault="008529C6" w:rsidP="008529C6">
      <w:pPr>
        <w:suppressAutoHyphens w:val="0"/>
        <w:overflowPunct w:val="0"/>
        <w:autoSpaceDE w:val="0"/>
        <w:autoSpaceDN w:val="0"/>
        <w:adjustRightInd w:val="0"/>
        <w:jc w:val="right"/>
      </w:pPr>
      <w:r w:rsidRPr="008529C6">
        <w:rPr>
          <w:szCs w:val="24"/>
        </w:rPr>
        <w:t>1-es számú melléklet</w:t>
      </w: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both"/>
      </w:pPr>
    </w:p>
    <w:p w:rsidR="008529C6" w:rsidRPr="008529C6" w:rsidRDefault="008529C6" w:rsidP="008529C6">
      <w:pPr>
        <w:suppressAutoHyphens w:val="0"/>
        <w:overflowPunct w:val="0"/>
        <w:autoSpaceDE w:val="0"/>
        <w:autoSpaceDN w:val="0"/>
        <w:adjustRightInd w:val="0"/>
        <w:jc w:val="center"/>
        <w:rPr>
          <w:b/>
        </w:rPr>
      </w:pPr>
      <w:r w:rsidRPr="008529C6">
        <w:rPr>
          <w:b/>
        </w:rPr>
        <w:t>Tevékenység elemzése</w:t>
      </w: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jc w:val="center"/>
        <w:rPr>
          <w:b/>
        </w:rPr>
      </w:pPr>
      <w:r>
        <w:rPr>
          <w:rFonts w:ascii="Arial" w:hAnsi="Arial"/>
          <w:noProof/>
        </w:rPr>
        <w:drawing>
          <wp:inline distT="0" distB="0" distL="0" distR="0">
            <wp:extent cx="5722620" cy="61341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2620" cy="6134100"/>
                    </a:xfrm>
                    <a:prstGeom prst="rect">
                      <a:avLst/>
                    </a:prstGeom>
                    <a:noFill/>
                    <a:ln>
                      <a:noFill/>
                    </a:ln>
                  </pic:spPr>
                </pic:pic>
              </a:graphicData>
            </a:graphic>
          </wp:inline>
        </w:drawing>
      </w: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rPr>
          <w:b/>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jc w:val="both"/>
        <w:rPr>
          <w:szCs w:val="24"/>
        </w:rPr>
      </w:pPr>
    </w:p>
    <w:p w:rsidR="008529C6" w:rsidRPr="008529C6" w:rsidRDefault="008529C6" w:rsidP="008529C6">
      <w:pPr>
        <w:suppressAutoHyphens w:val="0"/>
        <w:overflowPunct w:val="0"/>
        <w:autoSpaceDE w:val="0"/>
        <w:autoSpaceDN w:val="0"/>
        <w:adjustRightInd w:val="0"/>
        <w:ind w:left="4956" w:firstLine="708"/>
      </w:pPr>
      <w:r w:rsidRPr="008529C6">
        <w:rPr>
          <w:szCs w:val="24"/>
        </w:rPr>
        <w:t xml:space="preserve">                       2-es számú melléklet</w:t>
      </w:r>
    </w:p>
    <w:p w:rsidR="008529C6" w:rsidRPr="008529C6" w:rsidRDefault="008529C6" w:rsidP="008529C6">
      <w:pPr>
        <w:suppressAutoHyphens w:val="0"/>
        <w:overflowPunct w:val="0"/>
        <w:autoSpaceDE w:val="0"/>
        <w:autoSpaceDN w:val="0"/>
        <w:adjustRightInd w:val="0"/>
      </w:pP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jc w:val="center"/>
        <w:rPr>
          <w:b/>
        </w:rPr>
      </w:pPr>
      <w:proofErr w:type="spellStart"/>
      <w:r w:rsidRPr="008529C6">
        <w:rPr>
          <w:b/>
        </w:rPr>
        <w:t>Cash-Flow</w:t>
      </w:r>
      <w:proofErr w:type="spellEnd"/>
      <w:r w:rsidRPr="008529C6">
        <w:rPr>
          <w:b/>
        </w:rPr>
        <w:t xml:space="preserve"> kimutatás</w:t>
      </w: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jc w:val="center"/>
        <w:rPr>
          <w:b/>
        </w:rPr>
      </w:pPr>
    </w:p>
    <w:p w:rsidR="008529C6" w:rsidRPr="008529C6" w:rsidRDefault="008529C6" w:rsidP="008529C6">
      <w:pPr>
        <w:suppressAutoHyphens w:val="0"/>
        <w:overflowPunct w:val="0"/>
        <w:autoSpaceDE w:val="0"/>
        <w:autoSpaceDN w:val="0"/>
        <w:adjustRightInd w:val="0"/>
        <w:jc w:val="center"/>
        <w:rPr>
          <w:b/>
        </w:rPr>
      </w:pPr>
      <w:r>
        <w:rPr>
          <w:rFonts w:ascii="Arial" w:hAnsi="Arial"/>
          <w:noProof/>
        </w:rPr>
        <w:drawing>
          <wp:inline distT="0" distB="0" distL="0" distR="0">
            <wp:extent cx="5852160" cy="75895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2160" cy="7589520"/>
                    </a:xfrm>
                    <a:prstGeom prst="rect">
                      <a:avLst/>
                    </a:prstGeom>
                    <a:noFill/>
                    <a:ln>
                      <a:noFill/>
                    </a:ln>
                  </pic:spPr>
                </pic:pic>
              </a:graphicData>
            </a:graphic>
          </wp:inline>
        </w:drawing>
      </w:r>
    </w:p>
    <w:p w:rsidR="00AE0682" w:rsidRDefault="00AE0682">
      <w:pPr>
        <w:sectPr w:rsidR="00AE0682" w:rsidSect="00AE0682">
          <w:pgSz w:w="11906" w:h="16838"/>
          <w:pgMar w:top="851" w:right="1418" w:bottom="709" w:left="1418" w:header="709" w:footer="709" w:gutter="0"/>
          <w:cols w:space="708"/>
          <w:titlePg/>
          <w:docGrid w:linePitch="360"/>
        </w:sectPr>
      </w:pPr>
    </w:p>
    <w:p w:rsidR="00AE0682" w:rsidRPr="00AE0682" w:rsidRDefault="00AE0682" w:rsidP="00AE0682">
      <w:pPr>
        <w:suppressAutoHyphens w:val="0"/>
        <w:ind w:left="360"/>
        <w:rPr>
          <w:b/>
          <w:bCs/>
          <w:sz w:val="36"/>
          <w:szCs w:val="24"/>
        </w:rPr>
      </w:pPr>
    </w:p>
    <w:p w:rsidR="00AE0682" w:rsidRPr="00AE0682" w:rsidRDefault="00AE0682" w:rsidP="00AE0682">
      <w:pPr>
        <w:suppressAutoHyphens w:val="0"/>
        <w:jc w:val="center"/>
        <w:rPr>
          <w:b/>
          <w:bCs/>
          <w:sz w:val="36"/>
          <w:szCs w:val="24"/>
        </w:rPr>
      </w:pPr>
    </w:p>
    <w:p w:rsidR="00AE0682" w:rsidRPr="00AE0682" w:rsidRDefault="00AE0682" w:rsidP="00AE0682">
      <w:pPr>
        <w:suppressAutoHyphens w:val="0"/>
        <w:jc w:val="center"/>
        <w:rPr>
          <w:b/>
          <w:bCs/>
          <w:sz w:val="36"/>
          <w:szCs w:val="24"/>
        </w:rPr>
      </w:pPr>
    </w:p>
    <w:p w:rsidR="00AE0682" w:rsidRPr="00AE0682" w:rsidRDefault="00AE0682" w:rsidP="00AE0682">
      <w:pPr>
        <w:suppressAutoHyphens w:val="0"/>
        <w:rPr>
          <w:b/>
          <w:bCs/>
          <w:sz w:val="36"/>
          <w:szCs w:val="24"/>
        </w:rPr>
      </w:pPr>
    </w:p>
    <w:p w:rsidR="00AE0682" w:rsidRPr="00AE0682" w:rsidRDefault="00AE0682" w:rsidP="00AE0682">
      <w:pPr>
        <w:suppressAutoHyphens w:val="0"/>
        <w:rPr>
          <w:rFonts w:ascii="Book Antiqua" w:hAnsi="Book Antiqua"/>
          <w:b/>
          <w:bCs/>
          <w:sz w:val="36"/>
          <w:szCs w:val="24"/>
        </w:rPr>
      </w:pPr>
    </w:p>
    <w:p w:rsidR="00AE0682" w:rsidRPr="00AE0682" w:rsidRDefault="00AE0682" w:rsidP="00AE0682">
      <w:pPr>
        <w:suppressAutoHyphens w:val="0"/>
        <w:jc w:val="center"/>
        <w:rPr>
          <w:rFonts w:ascii="Book Antiqua" w:hAnsi="Book Antiqua"/>
          <w:b/>
          <w:bCs/>
          <w:sz w:val="36"/>
          <w:szCs w:val="24"/>
        </w:rPr>
      </w:pPr>
    </w:p>
    <w:p w:rsidR="00AE0682" w:rsidRPr="00AE0682" w:rsidRDefault="00AE0682" w:rsidP="00AE0682">
      <w:pPr>
        <w:keepNext/>
        <w:suppressAutoHyphens w:val="0"/>
        <w:jc w:val="center"/>
        <w:outlineLvl w:val="1"/>
        <w:rPr>
          <w:rFonts w:ascii="Book Antiqua" w:eastAsia="Arial Unicode MS" w:hAnsi="Book Antiqua"/>
          <w:b/>
          <w:bCs/>
          <w:sz w:val="36"/>
          <w:szCs w:val="24"/>
        </w:rPr>
      </w:pPr>
    </w:p>
    <w:p w:rsidR="00AE0682" w:rsidRPr="00AE0682" w:rsidRDefault="00AE0682" w:rsidP="00AE0682">
      <w:pPr>
        <w:keepNext/>
        <w:suppressAutoHyphens w:val="0"/>
        <w:jc w:val="center"/>
        <w:outlineLvl w:val="1"/>
        <w:rPr>
          <w:rFonts w:ascii="Book Antiqua" w:eastAsia="Arial Unicode MS" w:hAnsi="Book Antiqua"/>
          <w:b/>
          <w:bCs/>
          <w:sz w:val="36"/>
          <w:szCs w:val="24"/>
        </w:rPr>
      </w:pPr>
    </w:p>
    <w:p w:rsidR="00AE0682" w:rsidRPr="00AE0682" w:rsidRDefault="00AE0682" w:rsidP="00AE0682">
      <w:pPr>
        <w:keepNext/>
        <w:suppressAutoHyphens w:val="0"/>
        <w:jc w:val="center"/>
        <w:outlineLvl w:val="1"/>
        <w:rPr>
          <w:rFonts w:ascii="Book Antiqua" w:eastAsia="Arial Unicode MS" w:hAnsi="Book Antiqua"/>
          <w:b/>
          <w:bCs/>
          <w:sz w:val="36"/>
          <w:szCs w:val="24"/>
        </w:rPr>
      </w:pPr>
    </w:p>
    <w:p w:rsidR="00AE0682" w:rsidRPr="00AE0682" w:rsidRDefault="00AE0682" w:rsidP="00AE0682">
      <w:pPr>
        <w:keepNext/>
        <w:suppressAutoHyphens w:val="0"/>
        <w:jc w:val="center"/>
        <w:outlineLvl w:val="1"/>
        <w:rPr>
          <w:rFonts w:ascii="Book Antiqua" w:eastAsia="Arial Unicode MS" w:hAnsi="Book Antiqua"/>
          <w:b/>
          <w:bCs/>
          <w:sz w:val="36"/>
          <w:szCs w:val="24"/>
        </w:rPr>
      </w:pPr>
    </w:p>
    <w:p w:rsidR="00AE0682" w:rsidRPr="00AE0682" w:rsidRDefault="00AE0682" w:rsidP="00AE0682">
      <w:pPr>
        <w:keepNext/>
        <w:suppressAutoHyphens w:val="0"/>
        <w:jc w:val="center"/>
        <w:outlineLvl w:val="1"/>
        <w:rPr>
          <w:rFonts w:ascii="Book Antiqua" w:eastAsia="Arial Unicode MS" w:hAnsi="Book Antiqua"/>
          <w:b/>
          <w:bCs/>
          <w:sz w:val="36"/>
          <w:szCs w:val="24"/>
        </w:rPr>
      </w:pPr>
    </w:p>
    <w:p w:rsidR="00AE0682" w:rsidRPr="00AE0682" w:rsidRDefault="00AE0682" w:rsidP="00AE0682">
      <w:pPr>
        <w:keepNext/>
        <w:suppressAutoHyphens w:val="0"/>
        <w:jc w:val="center"/>
        <w:outlineLvl w:val="1"/>
        <w:rPr>
          <w:rFonts w:ascii="Book Antiqua" w:eastAsia="Arial Unicode MS" w:hAnsi="Book Antiqua"/>
          <w:b/>
          <w:bCs/>
          <w:sz w:val="36"/>
          <w:szCs w:val="24"/>
        </w:rPr>
      </w:pPr>
    </w:p>
    <w:p w:rsidR="00AE0682" w:rsidRPr="00AE0682" w:rsidRDefault="00AE0682" w:rsidP="00AE0682">
      <w:pPr>
        <w:keepNext/>
        <w:suppressAutoHyphens w:val="0"/>
        <w:jc w:val="center"/>
        <w:outlineLvl w:val="1"/>
        <w:rPr>
          <w:rFonts w:ascii="Book Antiqua" w:eastAsia="Arial Unicode MS" w:hAnsi="Book Antiqua"/>
          <w:b/>
          <w:bCs/>
          <w:sz w:val="36"/>
          <w:szCs w:val="24"/>
        </w:rPr>
      </w:pPr>
      <w:r w:rsidRPr="00AE0682">
        <w:rPr>
          <w:rFonts w:ascii="Book Antiqua" w:eastAsia="Arial Unicode MS" w:hAnsi="Book Antiqua"/>
          <w:b/>
          <w:bCs/>
          <w:sz w:val="36"/>
          <w:szCs w:val="24"/>
        </w:rPr>
        <w:t>ÜZLETI JELENTÉS</w:t>
      </w:r>
    </w:p>
    <w:p w:rsidR="00AE0682" w:rsidRPr="00AE0682" w:rsidRDefault="00AE0682" w:rsidP="00AE0682">
      <w:pPr>
        <w:suppressAutoHyphens w:val="0"/>
        <w:jc w:val="center"/>
        <w:rPr>
          <w:rFonts w:ascii="Book Antiqua" w:hAnsi="Book Antiqua"/>
          <w:b/>
          <w:bCs/>
          <w:sz w:val="36"/>
          <w:szCs w:val="24"/>
        </w:rPr>
      </w:pPr>
    </w:p>
    <w:p w:rsidR="00AE0682" w:rsidRPr="00AE0682" w:rsidRDefault="00AE0682" w:rsidP="00AE0682">
      <w:pPr>
        <w:suppressAutoHyphens w:val="0"/>
        <w:jc w:val="center"/>
        <w:rPr>
          <w:rFonts w:ascii="Book Antiqua" w:hAnsi="Book Antiqua"/>
          <w:b/>
          <w:bCs/>
          <w:sz w:val="36"/>
          <w:szCs w:val="24"/>
        </w:rPr>
      </w:pPr>
    </w:p>
    <w:p w:rsidR="00AE0682" w:rsidRPr="00AE0682" w:rsidRDefault="00AE0682" w:rsidP="00AE0682">
      <w:pPr>
        <w:suppressAutoHyphens w:val="0"/>
        <w:jc w:val="center"/>
        <w:rPr>
          <w:rFonts w:ascii="Book Antiqua" w:hAnsi="Book Antiqua"/>
          <w:b/>
          <w:bCs/>
          <w:sz w:val="36"/>
          <w:szCs w:val="24"/>
        </w:rPr>
      </w:pPr>
    </w:p>
    <w:p w:rsidR="00AE0682" w:rsidRPr="00AE0682" w:rsidRDefault="00AE0682" w:rsidP="00AE0682">
      <w:pPr>
        <w:keepNext/>
        <w:suppressAutoHyphens w:val="0"/>
        <w:jc w:val="center"/>
        <w:outlineLvl w:val="2"/>
        <w:rPr>
          <w:rFonts w:ascii="Book Antiqua" w:eastAsia="Arial Unicode MS" w:hAnsi="Book Antiqua"/>
          <w:b/>
          <w:bCs/>
          <w:sz w:val="32"/>
          <w:szCs w:val="24"/>
        </w:rPr>
      </w:pPr>
      <w:r w:rsidRPr="00AE0682">
        <w:rPr>
          <w:rFonts w:ascii="Book Antiqua" w:eastAsia="Arial Unicode MS" w:hAnsi="Book Antiqua"/>
          <w:b/>
          <w:bCs/>
          <w:sz w:val="32"/>
          <w:szCs w:val="24"/>
        </w:rPr>
        <w:t>A TÖRÖKSZENTMIKLÓSI KOMMUNÁLIS SZOLGÁLTATÓ NONPROFIT KFT</w:t>
      </w:r>
    </w:p>
    <w:p w:rsidR="00AE0682" w:rsidRPr="00AE0682" w:rsidRDefault="00AE0682" w:rsidP="00AE0682">
      <w:pPr>
        <w:suppressAutoHyphens w:val="0"/>
        <w:rPr>
          <w:rFonts w:ascii="Book Antiqua" w:hAnsi="Book Antiqua"/>
          <w:szCs w:val="24"/>
        </w:rPr>
      </w:pPr>
    </w:p>
    <w:p w:rsidR="00AE0682" w:rsidRPr="00AE0682" w:rsidRDefault="00AE0682" w:rsidP="00AE0682">
      <w:pPr>
        <w:suppressAutoHyphens w:val="0"/>
        <w:rPr>
          <w:rFonts w:ascii="Book Antiqua" w:hAnsi="Book Antiqua"/>
          <w:szCs w:val="24"/>
        </w:rPr>
      </w:pPr>
    </w:p>
    <w:p w:rsidR="00AE0682" w:rsidRPr="00AE0682" w:rsidRDefault="00AE0682" w:rsidP="00AE0682">
      <w:pPr>
        <w:suppressAutoHyphens w:val="0"/>
        <w:jc w:val="center"/>
        <w:rPr>
          <w:rFonts w:ascii="Book Antiqua" w:hAnsi="Book Antiqua"/>
          <w:b/>
          <w:bCs/>
          <w:sz w:val="28"/>
          <w:szCs w:val="24"/>
        </w:rPr>
      </w:pPr>
      <w:r w:rsidRPr="00AE0682">
        <w:rPr>
          <w:rFonts w:ascii="Book Antiqua" w:hAnsi="Book Antiqua"/>
          <w:b/>
          <w:bCs/>
          <w:sz w:val="28"/>
          <w:szCs w:val="24"/>
        </w:rPr>
        <w:t>2019. DECEMBER 31. FORDULÓNAPPAL KÉSZÍTETT</w:t>
      </w:r>
    </w:p>
    <w:p w:rsidR="00AE0682" w:rsidRPr="00AE0682" w:rsidRDefault="00AE0682" w:rsidP="00AE0682">
      <w:pPr>
        <w:suppressAutoHyphens w:val="0"/>
        <w:jc w:val="center"/>
        <w:rPr>
          <w:rFonts w:ascii="Book Antiqua" w:hAnsi="Book Antiqua"/>
          <w:b/>
          <w:bCs/>
          <w:sz w:val="28"/>
          <w:szCs w:val="24"/>
        </w:rPr>
      </w:pPr>
      <w:r w:rsidRPr="00AE0682">
        <w:rPr>
          <w:rFonts w:ascii="Book Antiqua" w:hAnsi="Book Antiqua"/>
          <w:b/>
          <w:bCs/>
          <w:sz w:val="28"/>
          <w:szCs w:val="24"/>
        </w:rPr>
        <w:t>ÉVES BESZÁMOLÓJÁHOZ</w:t>
      </w: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center"/>
        <w:rPr>
          <w:b/>
          <w:bCs/>
          <w:sz w:val="28"/>
          <w:szCs w:val="24"/>
        </w:rPr>
      </w:pPr>
    </w:p>
    <w:p w:rsidR="00AE0682" w:rsidRPr="00AE0682" w:rsidRDefault="00AE0682" w:rsidP="00AE0682">
      <w:pPr>
        <w:suppressAutoHyphens w:val="0"/>
        <w:jc w:val="both"/>
        <w:rPr>
          <w:rFonts w:ascii="Book Antiqua" w:hAnsi="Book Antiqua"/>
          <w:szCs w:val="24"/>
        </w:rPr>
      </w:pPr>
      <w:r w:rsidRPr="00AE0682">
        <w:rPr>
          <w:rFonts w:ascii="Book Antiqua" w:hAnsi="Book Antiqua"/>
          <w:szCs w:val="24"/>
        </w:rPr>
        <w:t>A Törökszentmiklósi Kommunális Szolgáltató Nonprofit Kft-t a Törökszentmiklós Városi Önkormányzat alapította 2000. október 1-el.</w:t>
      </w:r>
    </w:p>
    <w:p w:rsidR="00AE0682" w:rsidRPr="00AE0682" w:rsidRDefault="00AE0682" w:rsidP="00AE0682">
      <w:pPr>
        <w:suppressAutoHyphens w:val="0"/>
        <w:jc w:val="both"/>
        <w:rPr>
          <w:rFonts w:ascii="Book Antiqua" w:hAnsi="Book Antiqua"/>
          <w:szCs w:val="24"/>
        </w:rPr>
      </w:pPr>
    </w:p>
    <w:p w:rsidR="00AE0682" w:rsidRPr="00AE0682" w:rsidRDefault="00AE0682" w:rsidP="00AE0682">
      <w:pPr>
        <w:suppressAutoHyphens w:val="0"/>
        <w:ind w:right="23"/>
        <w:jc w:val="both"/>
        <w:rPr>
          <w:rFonts w:ascii="Book Antiqua" w:hAnsi="Book Antiqua"/>
          <w:szCs w:val="24"/>
        </w:rPr>
      </w:pPr>
      <w:r w:rsidRPr="00AE0682">
        <w:rPr>
          <w:rFonts w:ascii="Book Antiqua" w:hAnsi="Book Antiqua"/>
          <w:szCs w:val="24"/>
        </w:rPr>
        <w:t>A Társaság tulajdonosa a Törökszentmiklós Városi Önkormányzat, 100 %-os tulajdoni hányaddal.</w:t>
      </w:r>
    </w:p>
    <w:p w:rsidR="00AE0682" w:rsidRPr="00AE0682" w:rsidRDefault="00AE0682" w:rsidP="00AE0682">
      <w:pPr>
        <w:suppressAutoHyphens w:val="0"/>
        <w:ind w:left="-360" w:right="23" w:firstLine="360"/>
        <w:jc w:val="both"/>
        <w:rPr>
          <w:rFonts w:ascii="Book Antiqua" w:hAnsi="Book Antiqua"/>
          <w:szCs w:val="24"/>
        </w:rPr>
      </w:pPr>
    </w:p>
    <w:p w:rsidR="00AE0682" w:rsidRPr="00AE0682" w:rsidRDefault="00AE0682" w:rsidP="00AE0682">
      <w:pPr>
        <w:suppressAutoHyphens w:val="0"/>
        <w:ind w:right="23"/>
        <w:jc w:val="both"/>
        <w:rPr>
          <w:rFonts w:ascii="Book Antiqua" w:hAnsi="Book Antiqua"/>
          <w:szCs w:val="24"/>
        </w:rPr>
      </w:pPr>
      <w:r w:rsidRPr="00AE0682">
        <w:rPr>
          <w:rFonts w:ascii="Book Antiqua" w:hAnsi="Book Antiqua"/>
          <w:szCs w:val="24"/>
        </w:rPr>
        <w:t>A cég székhelye</w:t>
      </w:r>
      <w:proofErr w:type="gramStart"/>
      <w:r w:rsidRPr="00AE0682">
        <w:rPr>
          <w:rFonts w:ascii="Book Antiqua" w:hAnsi="Book Antiqua"/>
          <w:szCs w:val="24"/>
        </w:rPr>
        <w:t>:  5200</w:t>
      </w:r>
      <w:proofErr w:type="gramEnd"/>
      <w:r w:rsidRPr="00AE0682">
        <w:rPr>
          <w:rFonts w:ascii="Book Antiqua" w:hAnsi="Book Antiqua"/>
          <w:szCs w:val="24"/>
        </w:rPr>
        <w:t xml:space="preserve"> Törökszentmiklós, Puskás Ferenc utca 12.</w:t>
      </w:r>
    </w:p>
    <w:p w:rsidR="00AE0682" w:rsidRPr="00AE0682" w:rsidRDefault="00AE0682" w:rsidP="00AE0682">
      <w:pPr>
        <w:suppressAutoHyphens w:val="0"/>
        <w:ind w:right="23"/>
        <w:jc w:val="both"/>
        <w:rPr>
          <w:rFonts w:ascii="Book Antiqua" w:hAnsi="Book Antiqua"/>
          <w:szCs w:val="24"/>
        </w:rPr>
      </w:pPr>
    </w:p>
    <w:p w:rsidR="00AE0682" w:rsidRPr="00AE0682" w:rsidRDefault="00AE0682" w:rsidP="00AE0682">
      <w:pPr>
        <w:suppressAutoHyphens w:val="0"/>
        <w:ind w:right="23"/>
        <w:jc w:val="both"/>
        <w:rPr>
          <w:rFonts w:ascii="Book Antiqua" w:hAnsi="Book Antiqua"/>
          <w:szCs w:val="24"/>
        </w:rPr>
      </w:pPr>
      <w:r w:rsidRPr="00AE0682">
        <w:rPr>
          <w:rFonts w:ascii="Book Antiqua" w:hAnsi="Book Antiqua"/>
          <w:szCs w:val="24"/>
        </w:rPr>
        <w:t xml:space="preserve">A cég telephelyei: </w:t>
      </w:r>
    </w:p>
    <w:p w:rsidR="00AE0682" w:rsidRPr="00AE0682" w:rsidRDefault="00AE0682" w:rsidP="00AE0682">
      <w:pPr>
        <w:numPr>
          <w:ilvl w:val="0"/>
          <w:numId w:val="2"/>
        </w:numPr>
        <w:suppressAutoHyphens w:val="0"/>
        <w:ind w:right="23"/>
        <w:jc w:val="both"/>
        <w:rPr>
          <w:rFonts w:ascii="Book Antiqua" w:hAnsi="Book Antiqua"/>
          <w:szCs w:val="24"/>
        </w:rPr>
      </w:pPr>
      <w:r w:rsidRPr="00AE0682">
        <w:rPr>
          <w:rFonts w:ascii="Book Antiqua" w:hAnsi="Book Antiqua"/>
          <w:szCs w:val="24"/>
        </w:rPr>
        <w:t>5200 Törökszentmiklós, Táncsics M. u., Vásártér 1064 hrsz. (városi piac)</w:t>
      </w:r>
    </w:p>
    <w:p w:rsidR="00AE0682" w:rsidRPr="00AE0682" w:rsidRDefault="00AE0682" w:rsidP="00AE0682">
      <w:pPr>
        <w:numPr>
          <w:ilvl w:val="0"/>
          <w:numId w:val="2"/>
        </w:numPr>
        <w:suppressAutoHyphens w:val="0"/>
        <w:ind w:right="23"/>
        <w:jc w:val="both"/>
        <w:rPr>
          <w:rFonts w:ascii="Book Antiqua" w:hAnsi="Book Antiqua"/>
          <w:szCs w:val="24"/>
        </w:rPr>
      </w:pPr>
      <w:r w:rsidRPr="00AE0682">
        <w:rPr>
          <w:rFonts w:ascii="Book Antiqua" w:hAnsi="Book Antiqua"/>
          <w:szCs w:val="24"/>
        </w:rPr>
        <w:t>5200 Törökszentmiklós, Wesselényi u.51, Strandfürdő 1134/5 hrsz.</w:t>
      </w:r>
    </w:p>
    <w:p w:rsidR="00AE0682" w:rsidRPr="00AE0682" w:rsidRDefault="00AE0682" w:rsidP="00AE0682">
      <w:pPr>
        <w:numPr>
          <w:ilvl w:val="0"/>
          <w:numId w:val="2"/>
        </w:numPr>
        <w:suppressAutoHyphens w:val="0"/>
        <w:ind w:right="23"/>
        <w:jc w:val="both"/>
        <w:rPr>
          <w:rFonts w:ascii="Book Antiqua" w:hAnsi="Book Antiqua"/>
          <w:szCs w:val="24"/>
        </w:rPr>
      </w:pPr>
      <w:r w:rsidRPr="00AE0682">
        <w:rPr>
          <w:rFonts w:ascii="Book Antiqua" w:hAnsi="Book Antiqua"/>
          <w:szCs w:val="24"/>
        </w:rPr>
        <w:t>5200 Törökszentmiklós, Wesselényi u.53, Kemping 1134/6 hrsz.</w:t>
      </w:r>
    </w:p>
    <w:p w:rsidR="00AE0682" w:rsidRPr="00AE0682" w:rsidRDefault="00AE0682" w:rsidP="00AE0682">
      <w:pPr>
        <w:numPr>
          <w:ilvl w:val="0"/>
          <w:numId w:val="2"/>
        </w:numPr>
        <w:suppressAutoHyphens w:val="0"/>
        <w:ind w:right="23"/>
        <w:jc w:val="both"/>
        <w:rPr>
          <w:rFonts w:ascii="Book Antiqua" w:hAnsi="Book Antiqua"/>
          <w:szCs w:val="24"/>
        </w:rPr>
      </w:pPr>
      <w:r w:rsidRPr="00AE0682">
        <w:rPr>
          <w:rFonts w:ascii="Book Antiqua" w:hAnsi="Book Antiqua"/>
          <w:szCs w:val="24"/>
        </w:rPr>
        <w:t>5200 Törökszentmiklós, Kertész u. 10. (élelmiszerbolt, kisposta)</w:t>
      </w:r>
    </w:p>
    <w:p w:rsidR="00AE0682" w:rsidRPr="00AE0682" w:rsidRDefault="00AE0682" w:rsidP="00AE0682">
      <w:pPr>
        <w:numPr>
          <w:ilvl w:val="0"/>
          <w:numId w:val="2"/>
        </w:numPr>
        <w:suppressAutoHyphens w:val="0"/>
        <w:ind w:right="23"/>
        <w:jc w:val="both"/>
        <w:rPr>
          <w:rFonts w:ascii="Book Antiqua" w:hAnsi="Book Antiqua"/>
          <w:szCs w:val="24"/>
        </w:rPr>
      </w:pPr>
      <w:r w:rsidRPr="00AE0682">
        <w:rPr>
          <w:rFonts w:ascii="Book Antiqua" w:hAnsi="Book Antiqua"/>
          <w:szCs w:val="24"/>
        </w:rPr>
        <w:t xml:space="preserve">5200 Törökszentmiklós, </w:t>
      </w:r>
      <w:proofErr w:type="spellStart"/>
      <w:r w:rsidRPr="00AE0682">
        <w:rPr>
          <w:rFonts w:ascii="Book Antiqua" w:hAnsi="Book Antiqua"/>
          <w:szCs w:val="24"/>
        </w:rPr>
        <w:t>Alatkai</w:t>
      </w:r>
      <w:proofErr w:type="spellEnd"/>
      <w:r w:rsidRPr="00AE0682">
        <w:rPr>
          <w:rFonts w:ascii="Book Antiqua" w:hAnsi="Book Antiqua"/>
          <w:szCs w:val="24"/>
        </w:rPr>
        <w:t xml:space="preserve"> út 647/3 hrsz.</w:t>
      </w:r>
    </w:p>
    <w:p w:rsidR="00AE0682" w:rsidRPr="00AE0682" w:rsidRDefault="00AE0682" w:rsidP="00AE0682">
      <w:pPr>
        <w:numPr>
          <w:ilvl w:val="0"/>
          <w:numId w:val="2"/>
        </w:numPr>
        <w:suppressAutoHyphens w:val="0"/>
        <w:ind w:right="23"/>
        <w:jc w:val="both"/>
        <w:rPr>
          <w:rFonts w:ascii="Book Antiqua" w:hAnsi="Book Antiqua"/>
          <w:szCs w:val="24"/>
        </w:rPr>
      </w:pPr>
      <w:r w:rsidRPr="00AE0682">
        <w:rPr>
          <w:rFonts w:ascii="Book Antiqua" w:hAnsi="Book Antiqua"/>
          <w:szCs w:val="24"/>
        </w:rPr>
        <w:t xml:space="preserve">5200 Törökszentmiklós, </w:t>
      </w:r>
      <w:proofErr w:type="spellStart"/>
      <w:r w:rsidRPr="00AE0682">
        <w:rPr>
          <w:rFonts w:ascii="Book Antiqua" w:hAnsi="Book Antiqua"/>
          <w:szCs w:val="24"/>
        </w:rPr>
        <w:t>Alatkai</w:t>
      </w:r>
      <w:proofErr w:type="spellEnd"/>
      <w:r w:rsidRPr="00AE0682">
        <w:rPr>
          <w:rFonts w:ascii="Book Antiqua" w:hAnsi="Book Antiqua"/>
          <w:szCs w:val="24"/>
        </w:rPr>
        <w:t xml:space="preserve"> út 647/4 hrsz.</w:t>
      </w:r>
    </w:p>
    <w:p w:rsidR="00AE0682" w:rsidRPr="00AE0682" w:rsidRDefault="00AE0682" w:rsidP="00AE0682">
      <w:pPr>
        <w:numPr>
          <w:ilvl w:val="0"/>
          <w:numId w:val="2"/>
        </w:numPr>
        <w:suppressAutoHyphens w:val="0"/>
        <w:ind w:right="23"/>
        <w:jc w:val="both"/>
        <w:rPr>
          <w:rFonts w:ascii="Book Antiqua" w:hAnsi="Book Antiqua"/>
          <w:szCs w:val="24"/>
        </w:rPr>
      </w:pPr>
      <w:r w:rsidRPr="00AE0682">
        <w:rPr>
          <w:rFonts w:ascii="Book Antiqua" w:hAnsi="Book Antiqua"/>
          <w:szCs w:val="24"/>
        </w:rPr>
        <w:t>5200 Törökszentmiklós, Dózsa György út 17. (Ipari park VEGYTEK telep)</w:t>
      </w:r>
    </w:p>
    <w:p w:rsidR="00AE0682" w:rsidRPr="00AE0682" w:rsidRDefault="00AE0682" w:rsidP="00AE0682">
      <w:pPr>
        <w:suppressAutoHyphens w:val="0"/>
        <w:ind w:right="23"/>
        <w:jc w:val="both"/>
        <w:rPr>
          <w:rFonts w:ascii="Book Antiqua" w:hAnsi="Book Antiqua"/>
          <w:szCs w:val="24"/>
        </w:rPr>
      </w:pPr>
    </w:p>
    <w:p w:rsidR="00AE0682" w:rsidRPr="00AE0682" w:rsidRDefault="00AE0682" w:rsidP="00AE0682">
      <w:pPr>
        <w:suppressAutoHyphens w:val="0"/>
        <w:ind w:right="23"/>
        <w:jc w:val="both"/>
        <w:rPr>
          <w:szCs w:val="24"/>
        </w:rPr>
      </w:pPr>
      <w:r w:rsidRPr="00AE0682">
        <w:rPr>
          <w:szCs w:val="24"/>
        </w:rPr>
        <w:t xml:space="preserve">A Törökszentmiklósi Kommunális Szolgáltató Nonprofit Kft 2019. évi tevékenységéről és gazdálkodásáról szóló üzleti tervet, annak mellékleteit képező szolgáltatási szerződéseket és a 2019. évi fejlesztési tervet a Képviselő-testület 2019. március 28-án megtárgyalta és a 62/2019. (III.28.) sz. Kt. határozatával jóváhagyta. </w:t>
      </w:r>
    </w:p>
    <w:p w:rsidR="00AE0682" w:rsidRPr="00AE0682" w:rsidRDefault="00AE0682" w:rsidP="00AE0682">
      <w:pPr>
        <w:suppressAutoHyphens w:val="0"/>
        <w:ind w:right="23"/>
        <w:jc w:val="both"/>
        <w:rPr>
          <w:rFonts w:ascii="Book Antiqua" w:hAnsi="Book Antiqua"/>
          <w:szCs w:val="24"/>
        </w:rPr>
      </w:pPr>
    </w:p>
    <w:p w:rsidR="00AE0682" w:rsidRPr="00AE0682" w:rsidRDefault="00AE0682" w:rsidP="00AE0682">
      <w:pPr>
        <w:suppressAutoHyphens w:val="0"/>
        <w:jc w:val="both"/>
        <w:rPr>
          <w:b/>
          <w:bCs/>
          <w:szCs w:val="24"/>
        </w:rPr>
      </w:pPr>
      <w:r w:rsidRPr="00AE0682">
        <w:rPr>
          <w:szCs w:val="24"/>
        </w:rPr>
        <w:t>2019. évben az alábbi főbb feladatokat láttuk el, valamint események, melyek hatással voltak üzleti tervünk végrehajtására</w:t>
      </w:r>
      <w:r w:rsidRPr="00AE0682">
        <w:rPr>
          <w:b/>
          <w:bCs/>
          <w:szCs w:val="24"/>
        </w:rPr>
        <w:t xml:space="preserve">: </w:t>
      </w:r>
    </w:p>
    <w:p w:rsidR="00AE0682" w:rsidRPr="00AE0682" w:rsidRDefault="00AE0682" w:rsidP="00AE0682">
      <w:pPr>
        <w:suppressAutoHyphens w:val="0"/>
        <w:jc w:val="both"/>
        <w:rPr>
          <w:b/>
          <w:bCs/>
          <w:szCs w:val="24"/>
        </w:rPr>
      </w:pPr>
    </w:p>
    <w:p w:rsidR="00AE0682" w:rsidRPr="00AE0682" w:rsidRDefault="00AE0682" w:rsidP="00AE0682">
      <w:pPr>
        <w:numPr>
          <w:ilvl w:val="0"/>
          <w:numId w:val="4"/>
        </w:numPr>
        <w:suppressAutoHyphens w:val="0"/>
        <w:ind w:left="709"/>
        <w:jc w:val="both"/>
        <w:rPr>
          <w:szCs w:val="24"/>
        </w:rPr>
      </w:pPr>
      <w:r w:rsidRPr="00AE0682">
        <w:rPr>
          <w:szCs w:val="24"/>
        </w:rPr>
        <w:t xml:space="preserve">A hulladékgazdálkodási rendszer országos átalakítása során 2019. évben helyzetünk </w:t>
      </w:r>
      <w:proofErr w:type="spellStart"/>
      <w:r w:rsidRPr="00AE0682">
        <w:rPr>
          <w:szCs w:val="24"/>
        </w:rPr>
        <w:t>stabilizáládott</w:t>
      </w:r>
      <w:proofErr w:type="spellEnd"/>
      <w:r w:rsidRPr="00AE0682">
        <w:rPr>
          <w:szCs w:val="24"/>
        </w:rPr>
        <w:t xml:space="preserve">, célunk a hulladékgazdálkodási alvállalkozói státusz keretén belül ellátni a nem veszélyes hulladék begyűjtését és elszállítását Törökszentmiklós és Tiszatenyő településeken. Az NHSZ Szolnok Közszolgáltató Nonprofit </w:t>
      </w:r>
      <w:proofErr w:type="spellStart"/>
      <w:r w:rsidRPr="00AE0682">
        <w:rPr>
          <w:szCs w:val="24"/>
        </w:rPr>
        <w:t>Kft-vel</w:t>
      </w:r>
      <w:proofErr w:type="spellEnd"/>
      <w:r w:rsidRPr="00AE0682">
        <w:rPr>
          <w:szCs w:val="24"/>
        </w:rPr>
        <w:t xml:space="preserve"> 2018. január 1-től kötött alvállalkozói szerződést módosítottuk 2019. január 1-től, mellyel az 1,67 Ft/liter egységnyi alvállalkozói díj 1,73 Ft/liter egységnyi díjra emelkedett. </w:t>
      </w:r>
    </w:p>
    <w:p w:rsidR="00AE0682" w:rsidRPr="00AE0682" w:rsidRDefault="00AE0682" w:rsidP="00AE0682">
      <w:pPr>
        <w:suppressAutoHyphens w:val="0"/>
        <w:ind w:left="709"/>
        <w:jc w:val="both"/>
        <w:rPr>
          <w:szCs w:val="24"/>
        </w:rPr>
      </w:pPr>
      <w:r w:rsidRPr="00AE0682">
        <w:rPr>
          <w:szCs w:val="24"/>
        </w:rPr>
        <w:t xml:space="preserve">Társaságunk a Nemzeti Hulladékgazdálkodási Koordináló és Vagyonkezelő </w:t>
      </w:r>
      <w:proofErr w:type="spellStart"/>
      <w:r w:rsidRPr="00AE0682">
        <w:rPr>
          <w:szCs w:val="24"/>
        </w:rPr>
        <w:t>Zrt-hez</w:t>
      </w:r>
      <w:proofErr w:type="spellEnd"/>
      <w:r w:rsidRPr="00AE0682">
        <w:rPr>
          <w:szCs w:val="24"/>
        </w:rPr>
        <w:t xml:space="preserve"> (NHKV) 2017. teljes évre vonatkozóan díj felülvizsgálati kérelmet nyújtott be Törökszentmiklós, Tiszatenyő és Fegyvernek településeken ellátott közszolgáltatás szolgáltatási díjára, valamint a 2018. I. negyedévre vonatkozóan a Fegyvernek településen 2018. január 1-23-ig ellátott közszolgáltatás szolgáltatási díjára.</w:t>
      </w:r>
    </w:p>
    <w:p w:rsidR="00AE0682" w:rsidRPr="00AE0682" w:rsidRDefault="00AE0682" w:rsidP="00AE0682">
      <w:pPr>
        <w:suppressAutoHyphens w:val="0"/>
        <w:ind w:left="709"/>
        <w:jc w:val="both"/>
        <w:rPr>
          <w:szCs w:val="24"/>
        </w:rPr>
      </w:pPr>
      <w:r w:rsidRPr="00AE0682">
        <w:rPr>
          <w:szCs w:val="24"/>
        </w:rPr>
        <w:t>A tárgyalások után a díj felülvizsgálat 2019. I. félévben eredményesen lezárult. A NHKV teljesítés igazolása alapján Társaságunk 2019. június 4-én számlát állíthatott ki a 2017. IV. negyedéves szolgáltatási díj elszámolásról 41 004 071 Ft + áfa összegben, a 2018. I. negyedéves szolgáltatási díj elszámolásról 682.694 Ft + áfa összegben. A kiállított számlák a kézhezvételt követően kiegyenlítésre kerültek. A 2019. évi árbevétel a fenti összegeket nem tartalmazza, a jelentős összegű árbevételek az előző üzleti évek módosításai.</w:t>
      </w:r>
    </w:p>
    <w:p w:rsidR="00AE0682" w:rsidRPr="00AE0682" w:rsidRDefault="00AE0682" w:rsidP="00AE0682">
      <w:pPr>
        <w:suppressAutoHyphens w:val="0"/>
        <w:ind w:left="709"/>
        <w:jc w:val="both"/>
        <w:rPr>
          <w:szCs w:val="24"/>
        </w:rPr>
      </w:pPr>
      <w:r w:rsidRPr="00AE0682">
        <w:rPr>
          <w:szCs w:val="24"/>
        </w:rPr>
        <w:t>Az alvállalkozói szerződés alapján a 2019. évre kiállított számlák az NHSZ Szolnok Közszolgáltató Nonprofit Kft. részéről a 2019. évi szolgáltatási díj elszámolások arányában a beszámoló elkészítéséig az alábbiak szerint kerültek kiegyenlítésre:</w:t>
      </w:r>
    </w:p>
    <w:p w:rsidR="00AE0682" w:rsidRPr="00AE0682" w:rsidRDefault="00AE0682" w:rsidP="00AE0682">
      <w:pPr>
        <w:suppressAutoHyphens w:val="0"/>
        <w:ind w:left="709"/>
        <w:jc w:val="both"/>
        <w:rPr>
          <w:szCs w:val="24"/>
        </w:rPr>
      </w:pPr>
    </w:p>
    <w:p w:rsidR="00AE0682" w:rsidRPr="00AE0682" w:rsidRDefault="00AE0682" w:rsidP="00AE0682">
      <w:pPr>
        <w:numPr>
          <w:ilvl w:val="0"/>
          <w:numId w:val="5"/>
        </w:numPr>
        <w:suppressAutoHyphens w:val="0"/>
        <w:jc w:val="both"/>
        <w:rPr>
          <w:szCs w:val="24"/>
        </w:rPr>
      </w:pPr>
      <w:r w:rsidRPr="00AE0682">
        <w:rPr>
          <w:szCs w:val="24"/>
        </w:rPr>
        <w:t xml:space="preserve">2019. I. félév alvállalkozói </w:t>
      </w:r>
      <w:proofErr w:type="gramStart"/>
      <w:r w:rsidRPr="00AE0682">
        <w:rPr>
          <w:szCs w:val="24"/>
        </w:rPr>
        <w:t xml:space="preserve">díja             </w:t>
      </w:r>
      <w:r w:rsidRPr="00AE0682">
        <w:rPr>
          <w:szCs w:val="24"/>
        </w:rPr>
        <w:tab/>
      </w:r>
      <w:r w:rsidRPr="00AE0682">
        <w:rPr>
          <w:szCs w:val="24"/>
        </w:rPr>
        <w:tab/>
        <w:t>98</w:t>
      </w:r>
      <w:proofErr w:type="gramEnd"/>
      <w:r w:rsidRPr="00AE0682">
        <w:rPr>
          <w:szCs w:val="24"/>
        </w:rPr>
        <w:t>,78 %-ban</w:t>
      </w:r>
    </w:p>
    <w:p w:rsidR="00AE0682" w:rsidRPr="00AE0682" w:rsidRDefault="00AE0682" w:rsidP="00AE0682">
      <w:pPr>
        <w:numPr>
          <w:ilvl w:val="0"/>
          <w:numId w:val="5"/>
        </w:numPr>
        <w:suppressAutoHyphens w:val="0"/>
        <w:jc w:val="both"/>
        <w:rPr>
          <w:szCs w:val="24"/>
        </w:rPr>
      </w:pPr>
      <w:r w:rsidRPr="00AE0682">
        <w:rPr>
          <w:szCs w:val="24"/>
        </w:rPr>
        <w:t xml:space="preserve">2019. III. negyedév alvállalkozói </w:t>
      </w:r>
      <w:proofErr w:type="gramStart"/>
      <w:r w:rsidRPr="00AE0682">
        <w:rPr>
          <w:szCs w:val="24"/>
        </w:rPr>
        <w:t xml:space="preserve">díja  </w:t>
      </w:r>
      <w:r w:rsidRPr="00AE0682">
        <w:rPr>
          <w:szCs w:val="24"/>
        </w:rPr>
        <w:tab/>
      </w:r>
      <w:r w:rsidRPr="00AE0682">
        <w:rPr>
          <w:szCs w:val="24"/>
        </w:rPr>
        <w:tab/>
        <w:t>64</w:t>
      </w:r>
      <w:proofErr w:type="gramEnd"/>
      <w:r w:rsidRPr="00AE0682">
        <w:rPr>
          <w:szCs w:val="24"/>
        </w:rPr>
        <w:t>,49 %-ban</w:t>
      </w:r>
    </w:p>
    <w:p w:rsidR="00AE0682" w:rsidRPr="00AE0682" w:rsidRDefault="00AE0682" w:rsidP="00AE0682">
      <w:pPr>
        <w:numPr>
          <w:ilvl w:val="0"/>
          <w:numId w:val="5"/>
        </w:numPr>
        <w:suppressAutoHyphens w:val="0"/>
        <w:jc w:val="both"/>
        <w:rPr>
          <w:szCs w:val="24"/>
        </w:rPr>
      </w:pPr>
      <w:r w:rsidRPr="00AE0682">
        <w:rPr>
          <w:szCs w:val="24"/>
        </w:rPr>
        <w:t>2019. IV. negyedév alvállalkozói díja</w:t>
      </w:r>
      <w:r w:rsidRPr="00AE0682">
        <w:rPr>
          <w:szCs w:val="24"/>
        </w:rPr>
        <w:tab/>
      </w:r>
      <w:r w:rsidRPr="00AE0682">
        <w:rPr>
          <w:szCs w:val="24"/>
        </w:rPr>
        <w:tab/>
        <w:t>68,15 %-ban</w:t>
      </w:r>
    </w:p>
    <w:p w:rsidR="00AE0682" w:rsidRPr="00AE0682" w:rsidRDefault="00AE0682" w:rsidP="00AE0682">
      <w:pPr>
        <w:suppressAutoHyphens w:val="0"/>
        <w:jc w:val="both"/>
        <w:rPr>
          <w:szCs w:val="24"/>
        </w:rPr>
      </w:pPr>
      <w:r w:rsidRPr="00AE0682">
        <w:rPr>
          <w:szCs w:val="24"/>
        </w:rPr>
        <w:t xml:space="preserve">            </w:t>
      </w:r>
    </w:p>
    <w:p w:rsidR="00AE0682" w:rsidRPr="00AE0682" w:rsidRDefault="00AE0682" w:rsidP="00AE0682">
      <w:pPr>
        <w:suppressAutoHyphens w:val="0"/>
        <w:ind w:left="709"/>
        <w:jc w:val="both"/>
        <w:rPr>
          <w:szCs w:val="24"/>
        </w:rPr>
      </w:pPr>
      <w:r w:rsidRPr="00AE0682">
        <w:rPr>
          <w:szCs w:val="24"/>
        </w:rPr>
        <w:lastRenderedPageBreak/>
        <w:t>Az NHKV által 2019. I. félévben végzett díjfelülvizsgálat eredményeként az NHSZ Szolnok Közszolgáltató Nonprofit Kft. szolgáltatási díja is rendeződött, mellyel egyidejűleg a 2018. évi alvállalkozói díjról kiállított számlák 100 %-ban kiegyenlítésre kerültek.</w:t>
      </w:r>
    </w:p>
    <w:p w:rsidR="00AE0682" w:rsidRPr="00AE0682" w:rsidRDefault="00AE0682" w:rsidP="00AE0682">
      <w:pPr>
        <w:numPr>
          <w:ilvl w:val="0"/>
          <w:numId w:val="3"/>
        </w:numPr>
        <w:suppressAutoHyphens w:val="0"/>
        <w:jc w:val="both"/>
        <w:rPr>
          <w:szCs w:val="24"/>
        </w:rPr>
      </w:pPr>
      <w:r w:rsidRPr="00AE0682">
        <w:rPr>
          <w:szCs w:val="24"/>
        </w:rPr>
        <w:t>A Törökszentmiklós Városi Önkormányzat Képviselő-testülete a 239/2018. (XI. 29.) K. t. számú határozatával a Társaság tevékenységeit átszervezte 2019. január 1-től kezdődően.</w:t>
      </w:r>
    </w:p>
    <w:p w:rsidR="00AE0682" w:rsidRPr="00AE0682" w:rsidRDefault="00AE0682" w:rsidP="00AE0682">
      <w:pPr>
        <w:suppressAutoHyphens w:val="0"/>
        <w:ind w:left="720"/>
        <w:jc w:val="both"/>
        <w:rPr>
          <w:szCs w:val="24"/>
        </w:rPr>
      </w:pPr>
      <w:r w:rsidRPr="00AE0682">
        <w:rPr>
          <w:szCs w:val="24"/>
        </w:rPr>
        <w:t xml:space="preserve">A 251/2018. (XII. 20.) K. </w:t>
      </w:r>
      <w:proofErr w:type="gramStart"/>
      <w:r w:rsidRPr="00AE0682">
        <w:rPr>
          <w:szCs w:val="24"/>
        </w:rPr>
        <w:t>t</w:t>
      </w:r>
      <w:proofErr w:type="gramEnd"/>
      <w:r w:rsidRPr="00AE0682">
        <w:rPr>
          <w:szCs w:val="24"/>
        </w:rPr>
        <w:t xml:space="preserve">. </w:t>
      </w:r>
      <w:proofErr w:type="gramStart"/>
      <w:r w:rsidRPr="00AE0682">
        <w:rPr>
          <w:szCs w:val="24"/>
        </w:rPr>
        <w:t>számú</w:t>
      </w:r>
      <w:proofErr w:type="gramEnd"/>
      <w:r w:rsidRPr="00AE0682">
        <w:rPr>
          <w:szCs w:val="24"/>
        </w:rPr>
        <w:t xml:space="preserve"> határozatban a Társaságunk telephelyei kiegészültek az </w:t>
      </w:r>
      <w:proofErr w:type="spellStart"/>
      <w:r w:rsidRPr="00AE0682">
        <w:rPr>
          <w:szCs w:val="24"/>
        </w:rPr>
        <w:t>Alatkai</w:t>
      </w:r>
      <w:proofErr w:type="spellEnd"/>
      <w:r w:rsidRPr="00AE0682">
        <w:rPr>
          <w:szCs w:val="24"/>
        </w:rPr>
        <w:t xml:space="preserve"> úti vásártér és a Dózsa György u. 17. sz. alatti VEGYTEK telephellyel.</w:t>
      </w:r>
    </w:p>
    <w:p w:rsidR="00AE0682" w:rsidRPr="00AE0682" w:rsidRDefault="00AE0682" w:rsidP="00AE0682">
      <w:pPr>
        <w:suppressAutoHyphens w:val="0"/>
        <w:ind w:left="720"/>
        <w:jc w:val="both"/>
        <w:rPr>
          <w:szCs w:val="24"/>
        </w:rPr>
      </w:pPr>
      <w:r w:rsidRPr="00AE0682">
        <w:rPr>
          <w:szCs w:val="24"/>
        </w:rPr>
        <w:t xml:space="preserve">A kibővített telephelyekre a 252/2018. (XII. 20.) K. </w:t>
      </w:r>
      <w:proofErr w:type="gramStart"/>
      <w:r w:rsidRPr="00AE0682">
        <w:rPr>
          <w:szCs w:val="24"/>
        </w:rPr>
        <w:t>t</w:t>
      </w:r>
      <w:proofErr w:type="gramEnd"/>
      <w:r w:rsidRPr="00AE0682">
        <w:rPr>
          <w:szCs w:val="24"/>
        </w:rPr>
        <w:t xml:space="preserve">. </w:t>
      </w:r>
      <w:proofErr w:type="gramStart"/>
      <w:r w:rsidRPr="00AE0682">
        <w:rPr>
          <w:szCs w:val="24"/>
        </w:rPr>
        <w:t>számú</w:t>
      </w:r>
      <w:proofErr w:type="gramEnd"/>
      <w:r w:rsidRPr="00AE0682">
        <w:rPr>
          <w:szCs w:val="24"/>
        </w:rPr>
        <w:t xml:space="preserve"> határozat alapján a Törökszentmiklós Városi Önkormányzat bérleti szerződést kötött. A bérlemények bérleti díja 10 000 </w:t>
      </w:r>
      <w:proofErr w:type="spellStart"/>
      <w:r w:rsidRPr="00AE0682">
        <w:rPr>
          <w:szCs w:val="24"/>
        </w:rPr>
        <w:t>000</w:t>
      </w:r>
      <w:proofErr w:type="spellEnd"/>
      <w:r w:rsidRPr="00AE0682">
        <w:rPr>
          <w:szCs w:val="24"/>
        </w:rPr>
        <w:t xml:space="preserve"> Ft/év + áfa. A bérleti díjat az egyéb tevékenységek költségei között szerepeltetjük, mivel a bérleti díj tevékenységekre felosztásához nem találtunk alkalmas mutatószámot.</w:t>
      </w:r>
    </w:p>
    <w:p w:rsidR="00AE0682" w:rsidRPr="00AE0682" w:rsidRDefault="00AE0682" w:rsidP="00AE0682">
      <w:pPr>
        <w:suppressAutoHyphens w:val="0"/>
        <w:ind w:left="720"/>
        <w:jc w:val="both"/>
        <w:rPr>
          <w:szCs w:val="24"/>
        </w:rPr>
      </w:pPr>
      <w:r w:rsidRPr="00AE0682">
        <w:rPr>
          <w:szCs w:val="24"/>
        </w:rPr>
        <w:t>A VEGYTEK telephely 2019. január 1-től történő üzemeltetésével egyidejűleg Társaságunk számlázza a telephelyen szerződött bérlők bérleti díjait és a közüzemi díjakat.</w:t>
      </w:r>
    </w:p>
    <w:p w:rsidR="00AE0682" w:rsidRPr="00AE0682" w:rsidRDefault="00AE0682" w:rsidP="00AE0682">
      <w:pPr>
        <w:suppressAutoHyphens w:val="0"/>
        <w:ind w:left="720"/>
        <w:jc w:val="both"/>
        <w:rPr>
          <w:szCs w:val="24"/>
        </w:rPr>
      </w:pPr>
      <w:r w:rsidRPr="00AE0682">
        <w:rPr>
          <w:szCs w:val="24"/>
        </w:rPr>
        <w:t xml:space="preserve">2019. évben sikerült új bérlőkkel is szerződést kötni. Egy bérlő a szerződést felmondta, követelésünk az éves beszámoló elkészítésig nem rendeződött. Az iparvágány és az ehhez szükséges technikai és emberi erőforrások fenntartása rendkívül költséges. Ezért kerestük a lehetőséget árbevétel termelő tevékenységre. Ennek eredményeként szerződést kötöttünk más telephelyen alvállalkozói közreműködésre, amiből már </w:t>
      </w:r>
      <w:proofErr w:type="gramStart"/>
      <w:r w:rsidRPr="00AE0682">
        <w:rPr>
          <w:szCs w:val="24"/>
        </w:rPr>
        <w:t>2019. végén</w:t>
      </w:r>
      <w:proofErr w:type="gramEnd"/>
      <w:r w:rsidRPr="00AE0682">
        <w:rPr>
          <w:szCs w:val="24"/>
        </w:rPr>
        <w:t xml:space="preserve"> árbevétel is származott. </w:t>
      </w:r>
    </w:p>
    <w:p w:rsidR="00AE0682" w:rsidRPr="00AE0682" w:rsidRDefault="00AE0682" w:rsidP="00AE0682">
      <w:pPr>
        <w:suppressAutoHyphens w:val="0"/>
        <w:ind w:left="720"/>
        <w:jc w:val="both"/>
        <w:rPr>
          <w:szCs w:val="24"/>
        </w:rPr>
      </w:pPr>
      <w:r w:rsidRPr="00AE0682">
        <w:rPr>
          <w:szCs w:val="24"/>
        </w:rPr>
        <w:t xml:space="preserve">A 252/2018. (XII. 20.) K. </w:t>
      </w:r>
      <w:proofErr w:type="gramStart"/>
      <w:r w:rsidRPr="00AE0682">
        <w:rPr>
          <w:szCs w:val="24"/>
        </w:rPr>
        <w:t>t</w:t>
      </w:r>
      <w:proofErr w:type="gramEnd"/>
      <w:r w:rsidRPr="00AE0682">
        <w:rPr>
          <w:szCs w:val="24"/>
        </w:rPr>
        <w:t xml:space="preserve">. </w:t>
      </w:r>
      <w:proofErr w:type="gramStart"/>
      <w:r w:rsidRPr="00AE0682">
        <w:rPr>
          <w:szCs w:val="24"/>
        </w:rPr>
        <w:t>számú</w:t>
      </w:r>
      <w:proofErr w:type="gramEnd"/>
      <w:r w:rsidRPr="00AE0682">
        <w:rPr>
          <w:szCs w:val="24"/>
        </w:rPr>
        <w:t xml:space="preserve"> határozat tartalmazza a VEGYTEK telephelyen működő TDA WOOD </w:t>
      </w:r>
      <w:proofErr w:type="spellStart"/>
      <w:r w:rsidRPr="00AE0682">
        <w:rPr>
          <w:szCs w:val="24"/>
        </w:rPr>
        <w:t>KFT-vel</w:t>
      </w:r>
      <w:proofErr w:type="spellEnd"/>
      <w:r w:rsidRPr="00AE0682">
        <w:rPr>
          <w:szCs w:val="24"/>
        </w:rPr>
        <w:t xml:space="preserve"> kötött szerződés, bérlő változása miatt szükséges módosítását. is. A szerződés módosítását a beszámoló elkészítéséig lezártuk. A vonatkozó gazdasági események könyvelését elvégeztük.</w:t>
      </w:r>
    </w:p>
    <w:p w:rsidR="00AE0682" w:rsidRPr="00AE0682" w:rsidRDefault="00AE0682" w:rsidP="00AE0682">
      <w:pPr>
        <w:numPr>
          <w:ilvl w:val="0"/>
          <w:numId w:val="3"/>
        </w:numPr>
        <w:suppressAutoHyphens w:val="0"/>
        <w:jc w:val="both"/>
        <w:rPr>
          <w:szCs w:val="24"/>
        </w:rPr>
      </w:pPr>
      <w:r w:rsidRPr="00AE0682">
        <w:rPr>
          <w:szCs w:val="24"/>
        </w:rPr>
        <w:t xml:space="preserve">A kempinget idényjelleggel üzemeltettük 2019. május 1-től 2019. október 31-ig.                  A strandot 2019. évben folyamatosan üzemeltettük téli-nyári nyitva tartás szerint. A kempingben tovább növekedett a turisták által eltöltött vendég éjszakák száma, valamint sikerült kempingszövetségekkel is további szerződéseket kötni. A strand több városi és civil, céges programnak adott helyszínt. A legjelentősebb a </w:t>
      </w:r>
      <w:proofErr w:type="spellStart"/>
      <w:r w:rsidRPr="00AE0682">
        <w:rPr>
          <w:szCs w:val="24"/>
        </w:rPr>
        <w:t>Töröki</w:t>
      </w:r>
      <w:proofErr w:type="spellEnd"/>
      <w:r w:rsidRPr="00AE0682">
        <w:rPr>
          <w:szCs w:val="24"/>
        </w:rPr>
        <w:t xml:space="preserve"> Szárnyas Fesztivál volt. Kiemelkedően magas költség volt a beléptetés segítségére és a házirend betartatására szerződtetett vállalkozás díja.</w:t>
      </w:r>
    </w:p>
    <w:p w:rsidR="00AE0682" w:rsidRPr="00AE0682" w:rsidRDefault="00AE0682" w:rsidP="00AE0682">
      <w:pPr>
        <w:numPr>
          <w:ilvl w:val="0"/>
          <w:numId w:val="3"/>
        </w:numPr>
        <w:suppressAutoHyphens w:val="0"/>
        <w:jc w:val="both"/>
        <w:rPr>
          <w:szCs w:val="24"/>
        </w:rPr>
      </w:pPr>
      <w:r w:rsidRPr="00AE0682">
        <w:rPr>
          <w:szCs w:val="24"/>
        </w:rPr>
        <w:t xml:space="preserve">2019. évben két alkalommal rendeztük meg az országos állat- és kirakodóvásárt. A két alkalom árbevétele közel azonos mértékű volt, de a tervezettől elmaradt. A júliusban tervezett vásárt nem tartottuk meg, mivel az illetékes hatóság a sertés pestis járvány miatt a vásár megtartását nem engedélyezte. Ez visszavetette a korábbi növekedést, kihatott a szeptemberi vásárra is. A csapadékvíz rendszer építési munkái miatt a parkoltatás árbevétele is kiesett. A kieső árbevételt némileg pótolta a vásártér bérbeadása. </w:t>
      </w:r>
    </w:p>
    <w:p w:rsidR="00AE0682" w:rsidRPr="00AE0682" w:rsidRDefault="00AE0682" w:rsidP="00AE0682">
      <w:pPr>
        <w:numPr>
          <w:ilvl w:val="0"/>
          <w:numId w:val="3"/>
        </w:numPr>
        <w:suppressAutoHyphens w:val="0"/>
        <w:jc w:val="both"/>
        <w:rPr>
          <w:szCs w:val="24"/>
        </w:rPr>
      </w:pPr>
      <w:r w:rsidRPr="00AE0682">
        <w:rPr>
          <w:szCs w:val="24"/>
        </w:rPr>
        <w:t xml:space="preserve">Az egyéb városüzemeltetési feladatokat a korábbi évekhez hasonló műszaki tartalommal végeztük. A városüzemeltetési szerződésekben rögzített feladatokat teljesítettük. </w:t>
      </w:r>
    </w:p>
    <w:p w:rsidR="00AE0682" w:rsidRPr="00AE0682" w:rsidRDefault="00AE0682" w:rsidP="00AE0682">
      <w:pPr>
        <w:suppressAutoHyphens w:val="0"/>
        <w:ind w:left="720"/>
        <w:jc w:val="both"/>
        <w:rPr>
          <w:szCs w:val="24"/>
        </w:rPr>
      </w:pPr>
      <w:r w:rsidRPr="00AE0682">
        <w:rPr>
          <w:szCs w:val="24"/>
        </w:rPr>
        <w:t>2019. évben Társaságunk végezte a muskátlik villanykaróra kihelyezést, kibővített cserépkihelyezéssel.</w:t>
      </w:r>
    </w:p>
    <w:p w:rsidR="00AE0682" w:rsidRPr="00AE0682" w:rsidRDefault="00AE0682" w:rsidP="00AE0682">
      <w:pPr>
        <w:suppressAutoHyphens w:val="0"/>
        <w:ind w:left="720"/>
        <w:jc w:val="both"/>
        <w:rPr>
          <w:szCs w:val="24"/>
        </w:rPr>
      </w:pPr>
      <w:r w:rsidRPr="00AE0682">
        <w:rPr>
          <w:szCs w:val="24"/>
        </w:rPr>
        <w:t>A városüzemeltetési feladatok kiegészültek Törökszentmiklós közigazgatási területén útjavítási, kátyúzási feladatok elvégzésével, melyre vonatkozóan 2019. december 13. naptól 2020. december 31. napig, határozott időre vállalkozási szerződést kötött a Törökszentmiklós Városi Önkormányzata Társaságunkkal. A tevékenységet 2020. elején kezdtük meg.</w:t>
      </w:r>
    </w:p>
    <w:p w:rsidR="00AE0682" w:rsidRPr="00AE0682" w:rsidRDefault="00AE0682" w:rsidP="00AE0682">
      <w:pPr>
        <w:numPr>
          <w:ilvl w:val="0"/>
          <w:numId w:val="3"/>
        </w:numPr>
        <w:suppressAutoHyphens w:val="0"/>
        <w:jc w:val="both"/>
        <w:rPr>
          <w:szCs w:val="24"/>
        </w:rPr>
      </w:pPr>
      <w:r w:rsidRPr="00AE0682">
        <w:rPr>
          <w:szCs w:val="24"/>
        </w:rPr>
        <w:t xml:space="preserve">A Kertész utcai élelmiszerbolt és kisposta forgalmát egész évben folyamatos akciókkal próbáltuk a növelni. A választékot növeltük vény nélkül kapható </w:t>
      </w:r>
      <w:r w:rsidRPr="00AE0682">
        <w:rPr>
          <w:szCs w:val="24"/>
        </w:rPr>
        <w:lastRenderedPageBreak/>
        <w:t>gyógyszerekkel, valamint üzembe helyeztünk kávéfőző gépet is. Több rendelést kaptunk az önkormányzattól és intézményeitől. A karácsonyi csomagot is Társaságunktól rendelte meg az Önkormányzat a benyújtott pályázat alapján.</w:t>
      </w:r>
    </w:p>
    <w:p w:rsidR="00AE0682" w:rsidRPr="00AE0682" w:rsidRDefault="00AE0682" w:rsidP="00AE0682">
      <w:pPr>
        <w:numPr>
          <w:ilvl w:val="0"/>
          <w:numId w:val="3"/>
        </w:numPr>
        <w:suppressAutoHyphens w:val="0"/>
        <w:ind w:left="708"/>
        <w:jc w:val="both"/>
        <w:rPr>
          <w:szCs w:val="24"/>
        </w:rPr>
      </w:pPr>
      <w:r w:rsidRPr="00AE0682">
        <w:rPr>
          <w:szCs w:val="24"/>
        </w:rPr>
        <w:t>A piactéren 2019. évben befejeződött az átalakítás. A kialakított árusítóhelyekre a helybiztosítási szerződéseket Társaságunk megkötötte. A piac működtetése, az árusokkal történő egyeztetés 2019. évben rendkívüli erőfeszítéseket igényelt. A kezdeti nehézségeket sikerült az év végére kiküszöbölni. Az átalakítás a piacteret vonzóbbá tette. Gyakorlatilag helybiztosítási szerződésekkel lefedett a piac. A piaccsarnok összes üzletét kiadtuk 2019-ben, bérbe adható helyiség nincs.</w:t>
      </w:r>
    </w:p>
    <w:p w:rsidR="00AE0682" w:rsidRPr="00AE0682" w:rsidRDefault="00AE0682" w:rsidP="00AE0682">
      <w:pPr>
        <w:numPr>
          <w:ilvl w:val="0"/>
          <w:numId w:val="3"/>
        </w:numPr>
        <w:suppressAutoHyphens w:val="0"/>
        <w:jc w:val="both"/>
        <w:rPr>
          <w:szCs w:val="24"/>
        </w:rPr>
      </w:pPr>
      <w:r w:rsidRPr="00AE0682">
        <w:rPr>
          <w:szCs w:val="24"/>
        </w:rPr>
        <w:t>A december hónapban a Törökszentmiklós Városi Önkormányzat által megrendezésre került adventi ünnepek lebonyolításában az Önkormányzat megbízására rendelkezésre állt Társaságunk.</w:t>
      </w:r>
    </w:p>
    <w:p w:rsidR="00AE0682" w:rsidRPr="00AE0682" w:rsidRDefault="00AE0682" w:rsidP="00AE0682">
      <w:pPr>
        <w:suppressAutoHyphens w:val="0"/>
        <w:ind w:left="720"/>
        <w:jc w:val="both"/>
        <w:rPr>
          <w:szCs w:val="24"/>
        </w:rPr>
      </w:pPr>
    </w:p>
    <w:p w:rsidR="00AE0682" w:rsidRPr="00AE0682" w:rsidRDefault="00AE0682" w:rsidP="00AE0682">
      <w:pPr>
        <w:suppressAutoHyphens w:val="0"/>
        <w:jc w:val="both"/>
        <w:rPr>
          <w:b/>
          <w:bCs/>
          <w:szCs w:val="24"/>
        </w:rPr>
      </w:pPr>
    </w:p>
    <w:p w:rsidR="00AE0682" w:rsidRPr="00AE0682" w:rsidRDefault="00AE0682" w:rsidP="00AE0682">
      <w:pPr>
        <w:suppressAutoHyphens w:val="0"/>
        <w:jc w:val="both"/>
        <w:rPr>
          <w:szCs w:val="24"/>
        </w:rPr>
      </w:pPr>
      <w:r w:rsidRPr="00AE0682">
        <w:rPr>
          <w:szCs w:val="24"/>
        </w:rPr>
        <w:t>2019. évben végrehajtottuk a kötelező minimálbér és garantált bérminimum emelést, mely további bérnövekedést vont maga után a bérfeszültségek elkerülése miatt. A munkaerő megtartása bizonyos munkakörökben további béremelést vont maga után.</w:t>
      </w:r>
    </w:p>
    <w:p w:rsidR="00AE0682" w:rsidRPr="00AE0682" w:rsidRDefault="00AE0682" w:rsidP="00AE0682">
      <w:pPr>
        <w:tabs>
          <w:tab w:val="left" w:pos="0"/>
        </w:tabs>
        <w:suppressAutoHyphens w:val="0"/>
        <w:ind w:right="23"/>
        <w:jc w:val="both"/>
        <w:rPr>
          <w:rFonts w:ascii="Book Antiqua" w:hAnsi="Book Antiqua"/>
          <w:szCs w:val="24"/>
        </w:rPr>
      </w:pPr>
    </w:p>
    <w:p w:rsidR="00AE0682" w:rsidRPr="00AE0682" w:rsidRDefault="00AE0682" w:rsidP="00AE0682">
      <w:pPr>
        <w:suppressAutoHyphens w:val="0"/>
        <w:ind w:right="23"/>
        <w:jc w:val="both"/>
        <w:rPr>
          <w:rFonts w:ascii="Book Antiqua" w:hAnsi="Book Antiqua"/>
          <w:szCs w:val="24"/>
        </w:rPr>
      </w:pPr>
      <w:r w:rsidRPr="00AE0682">
        <w:rPr>
          <w:rFonts w:ascii="Book Antiqua" w:hAnsi="Book Antiqua"/>
          <w:szCs w:val="24"/>
        </w:rPr>
        <w:t xml:space="preserve">A Társaság által végzett egyes tevékenységek 2019. évi eredményét az 1. sz. mellékletben mutatjuk be. </w:t>
      </w:r>
    </w:p>
    <w:p w:rsidR="00AE0682" w:rsidRPr="00AE0682" w:rsidRDefault="00AE0682" w:rsidP="00AE0682">
      <w:pPr>
        <w:suppressAutoHyphens w:val="0"/>
        <w:ind w:right="23"/>
        <w:jc w:val="both"/>
        <w:rPr>
          <w:rFonts w:ascii="Book Antiqua" w:hAnsi="Book Antiqua"/>
          <w:szCs w:val="24"/>
        </w:rPr>
      </w:pPr>
    </w:p>
    <w:p w:rsidR="00AE0682" w:rsidRPr="00AE0682" w:rsidRDefault="00AE0682" w:rsidP="00AE0682">
      <w:pPr>
        <w:suppressAutoHyphens w:val="0"/>
        <w:ind w:right="23"/>
        <w:jc w:val="both"/>
        <w:rPr>
          <w:rFonts w:ascii="Book Antiqua" w:hAnsi="Book Antiqua"/>
          <w:szCs w:val="24"/>
        </w:rPr>
      </w:pPr>
      <w:r w:rsidRPr="00AE0682">
        <w:rPr>
          <w:rFonts w:ascii="Book Antiqua" w:hAnsi="Book Antiqua"/>
          <w:szCs w:val="24"/>
        </w:rPr>
        <w:t xml:space="preserve">A Képviselő-testület által jóváhagyott üzleti tervben a tervezett </w:t>
      </w:r>
      <w:proofErr w:type="gramStart"/>
      <w:r w:rsidRPr="00AE0682">
        <w:rPr>
          <w:rFonts w:ascii="Book Antiqua" w:hAnsi="Book Antiqua"/>
          <w:szCs w:val="24"/>
        </w:rPr>
        <w:t>árbevétel                 451</w:t>
      </w:r>
      <w:proofErr w:type="gramEnd"/>
      <w:r w:rsidRPr="00AE0682">
        <w:rPr>
          <w:rFonts w:ascii="Book Antiqua" w:hAnsi="Book Antiqua"/>
          <w:szCs w:val="24"/>
        </w:rPr>
        <w:t xml:space="preserve"> 573 E Ft volt, mely 451 834 E Ft-ban realizálódott. A tervben szereplő 1 529 E Ft üzemi, üzleti eredmény 16 883 E Ft összegben teljesült. </w:t>
      </w:r>
    </w:p>
    <w:p w:rsidR="00AE0682" w:rsidRPr="00AE0682" w:rsidRDefault="00AE0682" w:rsidP="00AE0682">
      <w:pPr>
        <w:suppressAutoHyphens w:val="0"/>
        <w:ind w:right="23"/>
        <w:jc w:val="both"/>
        <w:rPr>
          <w:rFonts w:ascii="Book Antiqua" w:hAnsi="Book Antiqua"/>
          <w:szCs w:val="24"/>
        </w:rPr>
      </w:pPr>
    </w:p>
    <w:p w:rsidR="00AE0682" w:rsidRPr="00AE0682" w:rsidRDefault="00AE0682" w:rsidP="00AE0682">
      <w:pPr>
        <w:suppressAutoHyphens w:val="0"/>
        <w:ind w:right="23"/>
        <w:jc w:val="both"/>
        <w:rPr>
          <w:rFonts w:ascii="Book Antiqua" w:hAnsi="Book Antiqua"/>
          <w:szCs w:val="24"/>
        </w:rPr>
      </w:pPr>
      <w:r w:rsidRPr="00AE0682">
        <w:rPr>
          <w:rFonts w:ascii="Book Antiqua" w:hAnsi="Book Antiqua"/>
          <w:szCs w:val="24"/>
        </w:rPr>
        <w:t>Non-profit szervezet részére 35 E Ft-ot adományozott a Társaság, valamint a Tiszatenyő Községi Önkormányzat rendezvényét 50 E Ft-tal támogatta.</w:t>
      </w:r>
    </w:p>
    <w:p w:rsidR="00AE0682" w:rsidRPr="00AE0682" w:rsidRDefault="00AE0682" w:rsidP="00AE0682">
      <w:pPr>
        <w:suppressAutoHyphens w:val="0"/>
        <w:ind w:right="23"/>
        <w:jc w:val="both"/>
        <w:rPr>
          <w:rFonts w:ascii="Book Antiqua" w:hAnsi="Book Antiqua"/>
          <w:szCs w:val="24"/>
        </w:rPr>
      </w:pPr>
    </w:p>
    <w:p w:rsidR="00AE0682" w:rsidRPr="00AE0682" w:rsidRDefault="00AE0682" w:rsidP="00AE0682">
      <w:pPr>
        <w:suppressAutoHyphens w:val="0"/>
        <w:ind w:right="23"/>
        <w:jc w:val="both"/>
        <w:rPr>
          <w:rFonts w:ascii="Book Antiqua" w:hAnsi="Book Antiqua"/>
          <w:szCs w:val="24"/>
        </w:rPr>
      </w:pPr>
      <w:r w:rsidRPr="00AE0682">
        <w:rPr>
          <w:rFonts w:ascii="Book Antiqua" w:hAnsi="Book Antiqua"/>
          <w:szCs w:val="24"/>
        </w:rPr>
        <w:t xml:space="preserve">Kiemelt feladatnak tekintettük 2019. évben is a kötelező települési szilárd hulladék begyűjtésének és szállításának biztosítását. Törökszentmiklós és Tiszatenyő településen gyűjtöttük és szállítottuk el a települési szilárd hulladékot, végeztük a házhoz menő szelektív hulladék és zöld </w:t>
      </w:r>
      <w:proofErr w:type="gramStart"/>
      <w:r w:rsidRPr="00AE0682">
        <w:rPr>
          <w:rFonts w:ascii="Book Antiqua" w:hAnsi="Book Antiqua"/>
          <w:szCs w:val="24"/>
        </w:rPr>
        <w:t>hulladék gyűjtést</w:t>
      </w:r>
      <w:proofErr w:type="gramEnd"/>
      <w:r w:rsidRPr="00AE0682">
        <w:rPr>
          <w:rFonts w:ascii="Book Antiqua" w:hAnsi="Book Antiqua"/>
          <w:szCs w:val="24"/>
        </w:rPr>
        <w:t>.</w:t>
      </w:r>
    </w:p>
    <w:p w:rsidR="00AE0682" w:rsidRPr="00AE0682" w:rsidRDefault="00AE0682" w:rsidP="00AE0682">
      <w:pPr>
        <w:suppressAutoHyphens w:val="0"/>
        <w:ind w:right="23"/>
        <w:jc w:val="both"/>
        <w:rPr>
          <w:rFonts w:ascii="Book Antiqua" w:hAnsi="Book Antiqua"/>
          <w:szCs w:val="24"/>
        </w:rPr>
      </w:pPr>
    </w:p>
    <w:p w:rsidR="00AE0682" w:rsidRPr="00AE0682" w:rsidRDefault="00AE0682" w:rsidP="00AE0682">
      <w:pPr>
        <w:suppressAutoHyphens w:val="0"/>
        <w:ind w:right="23"/>
        <w:jc w:val="both"/>
        <w:rPr>
          <w:rFonts w:ascii="Book Antiqua" w:hAnsi="Book Antiqua"/>
          <w:szCs w:val="24"/>
        </w:rPr>
      </w:pPr>
      <w:r w:rsidRPr="00AE0682">
        <w:rPr>
          <w:rFonts w:ascii="Book Antiqua" w:hAnsi="Book Antiqua"/>
          <w:szCs w:val="24"/>
        </w:rPr>
        <w:t>Szolgáltatásaink megszervezésénél zökkenőmentesen tudtuk biztosítani az ünnepnapok alatti hulladékszállítást, valamint ősszel a lomtalanítást.</w:t>
      </w:r>
    </w:p>
    <w:p w:rsidR="00AE0682" w:rsidRPr="00AE0682" w:rsidRDefault="00AE0682" w:rsidP="00AE0682">
      <w:pPr>
        <w:suppressAutoHyphens w:val="0"/>
        <w:ind w:right="23"/>
        <w:jc w:val="both"/>
        <w:rPr>
          <w:rFonts w:ascii="Book Antiqua" w:hAnsi="Book Antiqua"/>
          <w:szCs w:val="24"/>
        </w:rPr>
      </w:pPr>
      <w:r w:rsidRPr="00AE0682">
        <w:rPr>
          <w:rFonts w:ascii="Book Antiqua" w:hAnsi="Book Antiqua"/>
          <w:szCs w:val="24"/>
        </w:rPr>
        <w:t xml:space="preserve">A szolgáltatási területünkön a házhoz menő szelektív hulladék begyűjtésével párhuzamosan </w:t>
      </w:r>
      <w:proofErr w:type="gramStart"/>
      <w:r w:rsidRPr="00AE0682">
        <w:rPr>
          <w:rFonts w:ascii="Book Antiqua" w:hAnsi="Book Antiqua"/>
          <w:szCs w:val="24"/>
        </w:rPr>
        <w:t>Törökszentmiklóson</w:t>
      </w:r>
      <w:proofErr w:type="gramEnd"/>
      <w:r w:rsidRPr="00AE0682">
        <w:rPr>
          <w:rFonts w:ascii="Book Antiqua" w:hAnsi="Book Antiqua"/>
          <w:szCs w:val="24"/>
        </w:rPr>
        <w:t xml:space="preserve"> szelektív gyűjtőszigeten történt az üveg hulladékok gyűjtése, illetve iskolák területén kihelyezett szigeteken is történt szelektív hulladék gyűjtés. A </w:t>
      </w:r>
      <w:proofErr w:type="gramStart"/>
      <w:r w:rsidRPr="00AE0682">
        <w:rPr>
          <w:rFonts w:ascii="Book Antiqua" w:hAnsi="Book Antiqua"/>
          <w:szCs w:val="24"/>
        </w:rPr>
        <w:t>hulladék gyűjtő</w:t>
      </w:r>
      <w:proofErr w:type="gramEnd"/>
      <w:r w:rsidRPr="00AE0682">
        <w:rPr>
          <w:rFonts w:ascii="Book Antiqua" w:hAnsi="Book Antiqua"/>
          <w:szCs w:val="24"/>
        </w:rPr>
        <w:t xml:space="preserve"> szigetek tisztán tartása folyamatos többletmunkát igényel.  </w:t>
      </w:r>
    </w:p>
    <w:p w:rsidR="00AE0682" w:rsidRPr="00AE0682" w:rsidRDefault="00AE0682" w:rsidP="00AE0682">
      <w:pPr>
        <w:suppressAutoHyphens w:val="0"/>
        <w:ind w:right="23"/>
        <w:jc w:val="both"/>
        <w:rPr>
          <w:rFonts w:ascii="Book Antiqua" w:hAnsi="Book Antiqua"/>
          <w:szCs w:val="24"/>
        </w:rPr>
      </w:pPr>
    </w:p>
    <w:p w:rsidR="00AE0682" w:rsidRPr="00AE0682" w:rsidRDefault="00AE0682" w:rsidP="00AE0682">
      <w:pPr>
        <w:suppressAutoHyphens w:val="0"/>
        <w:ind w:right="23"/>
        <w:jc w:val="both"/>
        <w:rPr>
          <w:rFonts w:ascii="Book Antiqua" w:hAnsi="Book Antiqua"/>
          <w:szCs w:val="24"/>
        </w:rPr>
      </w:pPr>
      <w:r w:rsidRPr="00AE0682">
        <w:rPr>
          <w:rFonts w:ascii="Book Antiqua" w:hAnsi="Book Antiqua"/>
          <w:szCs w:val="24"/>
        </w:rPr>
        <w:t>Az időjáráshoz igazodva folyamatosan szerveztük meg a zöldterületek és a kezelésünkbe adott növényzetek fenntartását, kezelését.</w:t>
      </w:r>
    </w:p>
    <w:p w:rsidR="00AE0682" w:rsidRPr="00AE0682" w:rsidRDefault="00AE0682" w:rsidP="00AE0682">
      <w:pPr>
        <w:suppressAutoHyphens w:val="0"/>
        <w:ind w:right="23"/>
        <w:jc w:val="both"/>
        <w:rPr>
          <w:rFonts w:ascii="Book Antiqua" w:hAnsi="Book Antiqua"/>
          <w:szCs w:val="24"/>
        </w:rPr>
      </w:pPr>
    </w:p>
    <w:p w:rsidR="00AE0682" w:rsidRPr="00AE0682" w:rsidRDefault="00AE0682" w:rsidP="00AE0682">
      <w:pPr>
        <w:tabs>
          <w:tab w:val="left" w:pos="0"/>
        </w:tabs>
        <w:suppressAutoHyphens w:val="0"/>
        <w:ind w:right="23"/>
        <w:jc w:val="both"/>
        <w:rPr>
          <w:rFonts w:ascii="Book Antiqua" w:hAnsi="Book Antiqua"/>
          <w:szCs w:val="24"/>
        </w:rPr>
      </w:pPr>
      <w:r w:rsidRPr="00AE0682">
        <w:rPr>
          <w:rFonts w:ascii="Book Antiqua" w:hAnsi="Book Antiqua"/>
          <w:szCs w:val="24"/>
        </w:rPr>
        <w:t>A dolgozók munkakörülményének javítására továbbra is nagy gondot fordítottunk. Végrehajtásra került az alapvető szerszámok, védőeszközök beszerzése, továbbá a megfelelő munka- és védőruha biztosítása.</w:t>
      </w:r>
    </w:p>
    <w:p w:rsidR="00AE0682" w:rsidRPr="00AE0682" w:rsidRDefault="00AE0682" w:rsidP="00AE0682">
      <w:pPr>
        <w:suppressAutoHyphens w:val="0"/>
        <w:ind w:right="23"/>
        <w:jc w:val="both"/>
        <w:rPr>
          <w:rFonts w:ascii="Book Antiqua" w:hAnsi="Book Antiqua"/>
          <w:szCs w:val="24"/>
        </w:rPr>
      </w:pPr>
    </w:p>
    <w:p w:rsidR="00AE0682" w:rsidRPr="00AE0682" w:rsidRDefault="00AE0682" w:rsidP="00AE0682">
      <w:pPr>
        <w:suppressAutoHyphens w:val="0"/>
        <w:ind w:right="23"/>
        <w:jc w:val="both"/>
        <w:rPr>
          <w:rFonts w:ascii="Book Antiqua" w:hAnsi="Book Antiqua"/>
          <w:szCs w:val="24"/>
        </w:rPr>
      </w:pPr>
      <w:r w:rsidRPr="00AE0682">
        <w:rPr>
          <w:rFonts w:ascii="Book Antiqua" w:hAnsi="Book Antiqua"/>
          <w:szCs w:val="24"/>
        </w:rPr>
        <w:t>2019. évben a Társaság az állam, illetve az Önkormányzat felé minden esetben határidőre teljesítette az adó és egyéb fizetési kötelezettségeit.</w:t>
      </w:r>
    </w:p>
    <w:p w:rsidR="00AE0682" w:rsidRPr="00AE0682" w:rsidRDefault="00AE0682" w:rsidP="00AE0682">
      <w:pPr>
        <w:suppressAutoHyphens w:val="0"/>
        <w:ind w:right="23"/>
        <w:jc w:val="both"/>
        <w:rPr>
          <w:rFonts w:ascii="Book Antiqua" w:hAnsi="Book Antiqua"/>
          <w:szCs w:val="24"/>
        </w:rPr>
      </w:pPr>
    </w:p>
    <w:p w:rsidR="00AE0682" w:rsidRPr="00AE0682" w:rsidRDefault="00AE0682" w:rsidP="00AE0682">
      <w:pPr>
        <w:suppressAutoHyphens w:val="0"/>
        <w:ind w:right="23"/>
        <w:jc w:val="both"/>
        <w:rPr>
          <w:rFonts w:ascii="Book Antiqua" w:hAnsi="Book Antiqua"/>
          <w:szCs w:val="24"/>
        </w:rPr>
      </w:pPr>
      <w:r w:rsidRPr="00AE0682">
        <w:rPr>
          <w:rFonts w:ascii="Book Antiqua" w:hAnsi="Book Antiqua"/>
          <w:szCs w:val="24"/>
        </w:rPr>
        <w:lastRenderedPageBreak/>
        <w:t>Összességében az üzleti terv célkitűzéseinek megfelelően az Önkormányzattal kötött szerződésekben foglaltakat maradéktalanul teljesíteni tudtuk, ezzel is hozzájárulva városunk jobb arculatának kialakításához.</w:t>
      </w:r>
    </w:p>
    <w:p w:rsidR="00AE0682" w:rsidRPr="00AE0682" w:rsidRDefault="00AE0682" w:rsidP="00AE0682">
      <w:pPr>
        <w:suppressAutoHyphens w:val="0"/>
        <w:ind w:right="23"/>
        <w:jc w:val="both"/>
        <w:rPr>
          <w:rFonts w:ascii="Book Antiqua" w:hAnsi="Book Antiqua"/>
          <w:szCs w:val="24"/>
        </w:rPr>
      </w:pPr>
    </w:p>
    <w:p w:rsidR="00AE0682" w:rsidRPr="00AE0682" w:rsidRDefault="00AE0682" w:rsidP="00AE0682">
      <w:pPr>
        <w:suppressAutoHyphens w:val="0"/>
        <w:ind w:right="23"/>
        <w:jc w:val="both"/>
        <w:rPr>
          <w:rFonts w:ascii="Book Antiqua" w:hAnsi="Book Antiqua"/>
          <w:szCs w:val="24"/>
        </w:rPr>
      </w:pPr>
      <w:r w:rsidRPr="00AE0682">
        <w:rPr>
          <w:rFonts w:ascii="Book Antiqua" w:hAnsi="Book Antiqua"/>
          <w:szCs w:val="24"/>
        </w:rPr>
        <w:t>Jelentősebb beszerzéseink 2019. évben a megnövekedett telephelyeink számának üzemeltetésével összefüggésben valósultak meg. A gépjárműpark megfelelő minőségű karbantartása a tervezettől elmaradt, szükségszerű javítások történtek.</w:t>
      </w:r>
    </w:p>
    <w:p w:rsidR="00AE0682" w:rsidRPr="00AE0682" w:rsidRDefault="00AE0682" w:rsidP="00AE0682">
      <w:pPr>
        <w:tabs>
          <w:tab w:val="left" w:pos="0"/>
        </w:tabs>
        <w:suppressAutoHyphens w:val="0"/>
        <w:ind w:right="23"/>
        <w:jc w:val="both"/>
        <w:rPr>
          <w:rFonts w:ascii="Book Antiqua" w:hAnsi="Book Antiqua"/>
          <w:szCs w:val="24"/>
        </w:rPr>
      </w:pPr>
    </w:p>
    <w:p w:rsidR="00AE0682" w:rsidRPr="00AE0682" w:rsidRDefault="00AE0682" w:rsidP="00AE0682">
      <w:pPr>
        <w:tabs>
          <w:tab w:val="left" w:pos="0"/>
        </w:tabs>
        <w:suppressAutoHyphens w:val="0"/>
        <w:ind w:right="23"/>
        <w:jc w:val="both"/>
        <w:rPr>
          <w:rFonts w:ascii="Book Antiqua" w:hAnsi="Book Antiqua"/>
          <w:szCs w:val="24"/>
        </w:rPr>
      </w:pPr>
      <w:r w:rsidRPr="00AE0682">
        <w:rPr>
          <w:rFonts w:ascii="Book Antiqua" w:hAnsi="Book Antiqua"/>
          <w:szCs w:val="24"/>
        </w:rPr>
        <w:t>Főbb célkitűzéseink és feladataink 2020. évre az alábbiak:</w:t>
      </w:r>
    </w:p>
    <w:p w:rsidR="00AE0682" w:rsidRPr="00AE0682" w:rsidRDefault="00AE0682" w:rsidP="00AE0682">
      <w:pPr>
        <w:suppressAutoHyphens w:val="0"/>
        <w:jc w:val="both"/>
        <w:rPr>
          <w:szCs w:val="24"/>
        </w:rPr>
      </w:pPr>
    </w:p>
    <w:p w:rsidR="00AE0682" w:rsidRPr="00AE0682" w:rsidRDefault="00AE0682" w:rsidP="00AE0682">
      <w:pPr>
        <w:numPr>
          <w:ilvl w:val="0"/>
          <w:numId w:val="3"/>
        </w:numPr>
        <w:suppressAutoHyphens w:val="0"/>
        <w:jc w:val="both"/>
        <w:rPr>
          <w:szCs w:val="24"/>
        </w:rPr>
      </w:pPr>
      <w:r w:rsidRPr="00AE0682">
        <w:rPr>
          <w:szCs w:val="24"/>
        </w:rPr>
        <w:t xml:space="preserve">Társaságunk Törökszentmiklós városban, Tiszatenyő községben a települési szilárd hulladék begyűjtésénél továbbra is végzi a házhoz menő szelektív- és zöldhulladék-gyűjtést, a lomtalanítást a jogszabályi, valamint az Országos Hulladékgazdálkodási Közszolgáltatási Terv (OHKT) előírásainak megfelelően. A hulladékgazdálkodási alvállalkozói szerződés díja a vonatkozó jogszabálynak megfelelően a közvetlen költségeket tartalmazhatja. Továbbra sem fizeti rendszeresen a szolgáltatási díjat a Nemzeti Hulladékgazdálkodási Koordináló és Vagyonkezelő </w:t>
      </w:r>
      <w:proofErr w:type="spellStart"/>
      <w:r w:rsidRPr="00AE0682">
        <w:rPr>
          <w:szCs w:val="24"/>
        </w:rPr>
        <w:t>Zrt</w:t>
      </w:r>
      <w:proofErr w:type="spellEnd"/>
      <w:r w:rsidRPr="00AE0682">
        <w:rPr>
          <w:szCs w:val="24"/>
        </w:rPr>
        <w:t xml:space="preserve">. a közszolgáltatónak, így mi továbbra is </w:t>
      </w:r>
      <w:proofErr w:type="gramStart"/>
      <w:r w:rsidRPr="00AE0682">
        <w:rPr>
          <w:szCs w:val="24"/>
        </w:rPr>
        <w:t>több, mint</w:t>
      </w:r>
      <w:proofErr w:type="gramEnd"/>
      <w:r w:rsidRPr="00AE0682">
        <w:rPr>
          <w:szCs w:val="24"/>
        </w:rPr>
        <w:t xml:space="preserve"> fél éves késéssel kapjuk meg az alvállalkozói díjat. Ezért továbbra is likviditási zavarokkal kell számolnunk egész évben.</w:t>
      </w:r>
    </w:p>
    <w:p w:rsidR="00AE0682" w:rsidRPr="00AE0682" w:rsidRDefault="00AE0682" w:rsidP="00AE0682">
      <w:pPr>
        <w:numPr>
          <w:ilvl w:val="0"/>
          <w:numId w:val="3"/>
        </w:numPr>
        <w:suppressAutoHyphens w:val="0"/>
        <w:jc w:val="both"/>
        <w:rPr>
          <w:szCs w:val="24"/>
        </w:rPr>
      </w:pPr>
      <w:r w:rsidRPr="00AE0682">
        <w:rPr>
          <w:szCs w:val="24"/>
        </w:rPr>
        <w:t>A ’</w:t>
      </w:r>
      <w:proofErr w:type="spellStart"/>
      <w:r w:rsidRPr="00AE0682">
        <w:rPr>
          <w:szCs w:val="24"/>
        </w:rPr>
        <w:t>Vegytek</w:t>
      </w:r>
      <w:proofErr w:type="spellEnd"/>
      <w:r w:rsidRPr="00AE0682">
        <w:rPr>
          <w:szCs w:val="24"/>
        </w:rPr>
        <w:t xml:space="preserve">’ telephely üzemeltetésének első éve után látjuk a tényleges költségeket, ami meghaladja az első év tervezési adatait. Az iparvágány üzemeltetéséhez idén már számottevő árbevételt is terveztünk egy új szolgáltatási szerződés alapján. További hasznosítási lehetőséget is keresünk. Az épületek felújítása szükséges a bérbeadáshoz. A bérelhető területeket tovább kívánjuk növelni.    </w:t>
      </w:r>
    </w:p>
    <w:p w:rsidR="00AE0682" w:rsidRPr="00AE0682" w:rsidRDefault="00AE0682" w:rsidP="00AE0682">
      <w:pPr>
        <w:numPr>
          <w:ilvl w:val="0"/>
          <w:numId w:val="3"/>
        </w:numPr>
        <w:suppressAutoHyphens w:val="0"/>
        <w:jc w:val="both"/>
        <w:rPr>
          <w:szCs w:val="24"/>
        </w:rPr>
      </w:pPr>
      <w:r w:rsidRPr="00AE0682">
        <w:rPr>
          <w:szCs w:val="24"/>
        </w:rPr>
        <w:t xml:space="preserve">Érvényesítettük 2020. január 1-től hatályos minimálbér és garantált bérminimumra vonatkozó előírásokat, valamint korrigálásra szorultak a bérek a bérfeszültségek elkerülése miatt. Rendkívül nehéz a munkaerő megtartása, komoly kockázatot jelent a terv teljesítésére.  A teljesített béremelésnek kevés a munkaerő megtartó hatása. </w:t>
      </w:r>
    </w:p>
    <w:p w:rsidR="00AE0682" w:rsidRPr="00AE0682" w:rsidRDefault="00AE0682" w:rsidP="00AE0682">
      <w:pPr>
        <w:numPr>
          <w:ilvl w:val="0"/>
          <w:numId w:val="3"/>
        </w:numPr>
        <w:suppressAutoHyphens w:val="0"/>
        <w:jc w:val="both"/>
        <w:rPr>
          <w:color w:val="000000"/>
          <w:szCs w:val="24"/>
        </w:rPr>
      </w:pPr>
      <w:r w:rsidRPr="00AE0682">
        <w:rPr>
          <w:szCs w:val="24"/>
        </w:rPr>
        <w:t xml:space="preserve">Társaságunk az önkormányzat költségvetésével összhangban tervezi a városüzemeltetéssel kapcsolatos feladatokat. A növekvő feladatokat további megszorítások mellett kell elvégezni. A fizetett díjak nem </w:t>
      </w:r>
      <w:proofErr w:type="gramStart"/>
      <w:r w:rsidRPr="00AE0682">
        <w:rPr>
          <w:szCs w:val="24"/>
        </w:rPr>
        <w:t>nyújtanak</w:t>
      </w:r>
      <w:proofErr w:type="gramEnd"/>
      <w:r w:rsidRPr="00AE0682">
        <w:rPr>
          <w:szCs w:val="24"/>
        </w:rPr>
        <w:t xml:space="preserve"> kellő fedezetet nem  tesznek lehetővé érdemi fejlesztést.</w:t>
      </w:r>
    </w:p>
    <w:p w:rsidR="00AE0682" w:rsidRPr="00AE0682" w:rsidRDefault="00AE0682" w:rsidP="00AE0682">
      <w:pPr>
        <w:numPr>
          <w:ilvl w:val="0"/>
          <w:numId w:val="3"/>
        </w:numPr>
        <w:suppressAutoHyphens w:val="0"/>
        <w:jc w:val="both"/>
        <w:rPr>
          <w:szCs w:val="24"/>
        </w:rPr>
      </w:pPr>
      <w:r w:rsidRPr="00AE0682">
        <w:rPr>
          <w:szCs w:val="24"/>
        </w:rPr>
        <w:t xml:space="preserve">A strandon tovább kívánjuk növelni a látogatottságot külön programok szervezésével. A Kempingben szintén folyamatosan emelkedő vendégszámmal tervezünk. Az üzemeltetési költségek között kiemelkedik a 2019. évi csőtörés okozta károk helyreállítása. A karbantartási és eszközpótlási feladatok mellett érdemi fejlesztést nem tudunk végrehajtani. Kisebb fejlesztés a strand zöldterületi részén az elektromos hálózat tervezett bővítése, a rendezvények lebonyolíthatósága miatt.   </w:t>
      </w:r>
    </w:p>
    <w:p w:rsidR="00AE0682" w:rsidRPr="00AE0682" w:rsidRDefault="00AE0682" w:rsidP="00AE0682">
      <w:pPr>
        <w:numPr>
          <w:ilvl w:val="0"/>
          <w:numId w:val="3"/>
        </w:numPr>
        <w:suppressAutoHyphens w:val="0"/>
        <w:jc w:val="both"/>
        <w:rPr>
          <w:szCs w:val="24"/>
        </w:rPr>
      </w:pPr>
      <w:r w:rsidRPr="00AE0682">
        <w:rPr>
          <w:szCs w:val="24"/>
        </w:rPr>
        <w:t>A piacot a 2019. évi átalakítás korszerűvé, vonzóbbá tette, azonban az árusító helyek száma nem növekedett, minden hely helybiztosítással lefedett. A csarnok összes üzlethelyisége ki van adva, a belső tér kihasználatlansága rejt tartalékot. A vásárokat rendkívül nehézséggel szervezzük, számolnunk kell a tavaly megszakadt rendszeresség miatti kieséssel.</w:t>
      </w:r>
    </w:p>
    <w:p w:rsidR="00AE0682" w:rsidRPr="00AE0682" w:rsidRDefault="00AE0682" w:rsidP="00AE0682">
      <w:pPr>
        <w:numPr>
          <w:ilvl w:val="0"/>
          <w:numId w:val="3"/>
        </w:numPr>
        <w:suppressAutoHyphens w:val="0"/>
        <w:jc w:val="both"/>
        <w:rPr>
          <w:szCs w:val="24"/>
        </w:rPr>
      </w:pPr>
      <w:r w:rsidRPr="00AE0682">
        <w:rPr>
          <w:color w:val="000000"/>
          <w:szCs w:val="24"/>
        </w:rPr>
        <w:t>A Kertész úti ABC árrés tömegét tovább kell növelni, hogy a megnövekedett költségekre fedezetet nyújtson. Továbbra is keressük az értékesítési lehetőségeket. A tulajdonossal, és intézményeivel való együttműködés tovább növelhető.</w:t>
      </w:r>
    </w:p>
    <w:p w:rsidR="00AE0682" w:rsidRPr="00AE0682" w:rsidRDefault="00AE0682" w:rsidP="00AE0682">
      <w:pPr>
        <w:suppressAutoHyphens w:val="0"/>
        <w:ind w:left="720"/>
        <w:jc w:val="both"/>
        <w:rPr>
          <w:szCs w:val="24"/>
        </w:rPr>
      </w:pPr>
      <w:r w:rsidRPr="00AE0682">
        <w:rPr>
          <w:color w:val="000000"/>
          <w:szCs w:val="24"/>
        </w:rPr>
        <w:t xml:space="preserve">A környék lakosai igénylik a postai szolgáltatást, aminek árbevétele az értékesítések jutaléka, mely nem fedezi a </w:t>
      </w:r>
      <w:proofErr w:type="gramStart"/>
      <w:r w:rsidRPr="00AE0682">
        <w:rPr>
          <w:color w:val="000000"/>
          <w:szCs w:val="24"/>
        </w:rPr>
        <w:t>posta üzemeltetési</w:t>
      </w:r>
      <w:proofErr w:type="gramEnd"/>
      <w:r w:rsidRPr="00AE0682">
        <w:rPr>
          <w:color w:val="000000"/>
          <w:szCs w:val="24"/>
        </w:rPr>
        <w:t xml:space="preserve"> költséget. </w:t>
      </w:r>
    </w:p>
    <w:p w:rsidR="00AE0682" w:rsidRPr="00AE0682" w:rsidRDefault="00AE0682" w:rsidP="00AE0682">
      <w:pPr>
        <w:numPr>
          <w:ilvl w:val="0"/>
          <w:numId w:val="3"/>
        </w:numPr>
        <w:suppressAutoHyphens w:val="0"/>
        <w:jc w:val="both"/>
        <w:rPr>
          <w:szCs w:val="24"/>
        </w:rPr>
      </w:pPr>
      <w:r w:rsidRPr="00AE0682">
        <w:rPr>
          <w:color w:val="000000"/>
          <w:szCs w:val="24"/>
        </w:rPr>
        <w:t xml:space="preserve"> A Törökszentmiklós Térségi Építő Szerelő és Szolgáltató Kft-től átvettük az útjavítási, kátyúzási feladatokat. A tevékenységet 2020. január hónaptól megkezdtük Törökszentmiklós közigazgatási területén.</w:t>
      </w:r>
    </w:p>
    <w:p w:rsidR="00AE0682" w:rsidRPr="00AE0682" w:rsidRDefault="00AE0682" w:rsidP="00AE0682">
      <w:pPr>
        <w:suppressAutoHyphens w:val="0"/>
        <w:jc w:val="both"/>
        <w:rPr>
          <w:szCs w:val="24"/>
        </w:rPr>
      </w:pPr>
    </w:p>
    <w:p w:rsidR="00AE0682" w:rsidRPr="00AE0682" w:rsidRDefault="00AE0682" w:rsidP="00AE0682">
      <w:pPr>
        <w:suppressAutoHyphens w:val="0"/>
        <w:jc w:val="both"/>
        <w:rPr>
          <w:color w:val="000000"/>
          <w:szCs w:val="24"/>
        </w:rPr>
      </w:pPr>
      <w:r w:rsidRPr="00AE0682">
        <w:rPr>
          <w:color w:val="000000"/>
          <w:szCs w:val="24"/>
        </w:rPr>
        <w:lastRenderedPageBreak/>
        <w:t>A 2020. év célkitűzéseit, lehetőségeink maximális kihasználásával próbáljuk végrehajtani a 2020. március közepétől hatályos koronavírus elleni védekezés korlátozásainak maradéktalan betartása mellett.</w:t>
      </w:r>
    </w:p>
    <w:p w:rsidR="00AE0682" w:rsidRPr="00AE0682" w:rsidRDefault="00AE0682" w:rsidP="00AE0682">
      <w:pPr>
        <w:suppressAutoHyphens w:val="0"/>
        <w:jc w:val="both"/>
        <w:rPr>
          <w:color w:val="000000"/>
          <w:szCs w:val="24"/>
        </w:rPr>
      </w:pPr>
    </w:p>
    <w:p w:rsidR="00AE0682" w:rsidRPr="00AE0682" w:rsidRDefault="00AE0682" w:rsidP="00AE0682">
      <w:pPr>
        <w:suppressAutoHyphens w:val="0"/>
        <w:ind w:right="23"/>
        <w:jc w:val="both"/>
        <w:rPr>
          <w:rFonts w:ascii="Book Antiqua" w:hAnsi="Book Antiqua"/>
          <w:szCs w:val="24"/>
        </w:rPr>
      </w:pPr>
      <w:r w:rsidRPr="00AE0682">
        <w:rPr>
          <w:rFonts w:ascii="Book Antiqua" w:hAnsi="Book Antiqua"/>
          <w:szCs w:val="24"/>
        </w:rPr>
        <w:t>A mérleg fordulónapját követően nem következett be egyéb olyan esemény, amely a beszámolóban bemutatott információkhoz képest Társaságunk működésében lényeges változást eredményezne.</w:t>
      </w:r>
    </w:p>
    <w:p w:rsidR="00AE0682" w:rsidRPr="00AE0682" w:rsidRDefault="00AE0682" w:rsidP="00AE0682">
      <w:pPr>
        <w:suppressAutoHyphens w:val="0"/>
        <w:ind w:left="-360" w:right="23" w:firstLine="360"/>
        <w:jc w:val="both"/>
        <w:rPr>
          <w:rFonts w:ascii="Book Antiqua" w:hAnsi="Book Antiqua"/>
          <w:szCs w:val="24"/>
        </w:rPr>
      </w:pPr>
    </w:p>
    <w:p w:rsidR="00AE0682" w:rsidRPr="00AE0682" w:rsidRDefault="00AE0682" w:rsidP="00AE0682">
      <w:pPr>
        <w:suppressAutoHyphens w:val="0"/>
        <w:ind w:left="-360" w:right="23" w:firstLine="360"/>
        <w:jc w:val="both"/>
        <w:rPr>
          <w:rFonts w:ascii="Book Antiqua" w:hAnsi="Book Antiqua"/>
          <w:szCs w:val="24"/>
        </w:rPr>
      </w:pPr>
    </w:p>
    <w:p w:rsidR="00AE0682" w:rsidRPr="00AE0682" w:rsidRDefault="00AE0682" w:rsidP="00AE0682">
      <w:pPr>
        <w:suppressAutoHyphens w:val="0"/>
        <w:ind w:left="-360" w:right="23" w:firstLine="360"/>
        <w:jc w:val="both"/>
        <w:rPr>
          <w:rFonts w:ascii="Book Antiqua" w:hAnsi="Book Antiqua"/>
          <w:szCs w:val="24"/>
        </w:rPr>
      </w:pPr>
    </w:p>
    <w:p w:rsidR="00AE0682" w:rsidRPr="00AE0682" w:rsidRDefault="00AE0682" w:rsidP="00AE0682">
      <w:pPr>
        <w:suppressAutoHyphens w:val="0"/>
        <w:ind w:left="-360" w:right="23" w:firstLine="360"/>
        <w:jc w:val="both"/>
        <w:rPr>
          <w:rFonts w:ascii="Book Antiqua" w:hAnsi="Book Antiqua"/>
          <w:szCs w:val="24"/>
        </w:rPr>
      </w:pPr>
    </w:p>
    <w:p w:rsidR="00AE0682" w:rsidRPr="00AE0682" w:rsidRDefault="00AE0682" w:rsidP="00AE0682">
      <w:pPr>
        <w:suppressAutoHyphens w:val="0"/>
        <w:ind w:left="-360" w:right="23" w:firstLine="360"/>
        <w:jc w:val="both"/>
        <w:rPr>
          <w:rFonts w:ascii="Book Antiqua" w:hAnsi="Book Antiqua"/>
          <w:szCs w:val="24"/>
        </w:rPr>
      </w:pPr>
      <w:r w:rsidRPr="00AE0682">
        <w:rPr>
          <w:rFonts w:ascii="Book Antiqua" w:hAnsi="Book Antiqua"/>
          <w:szCs w:val="24"/>
        </w:rPr>
        <w:t>Törökszentmiklós, 2020. május 11.</w:t>
      </w:r>
    </w:p>
    <w:p w:rsidR="00AE0682" w:rsidRPr="00AE0682" w:rsidRDefault="00AE0682" w:rsidP="00AE0682">
      <w:pPr>
        <w:suppressAutoHyphens w:val="0"/>
        <w:ind w:right="23"/>
        <w:jc w:val="both"/>
        <w:rPr>
          <w:rFonts w:ascii="Book Antiqua" w:hAnsi="Book Antiqua"/>
          <w:szCs w:val="24"/>
        </w:rPr>
      </w:pPr>
    </w:p>
    <w:p w:rsidR="00AE0682" w:rsidRPr="00AE0682" w:rsidRDefault="00AE0682" w:rsidP="00AE0682">
      <w:pPr>
        <w:suppressAutoHyphens w:val="0"/>
        <w:ind w:left="4596" w:right="23" w:firstLine="1068"/>
        <w:jc w:val="both"/>
        <w:rPr>
          <w:rFonts w:ascii="Book Antiqua" w:hAnsi="Book Antiqua"/>
          <w:szCs w:val="24"/>
        </w:rPr>
      </w:pPr>
    </w:p>
    <w:p w:rsidR="00AE0682" w:rsidRPr="00AE0682" w:rsidRDefault="00AE0682" w:rsidP="00AE0682">
      <w:pPr>
        <w:suppressAutoHyphens w:val="0"/>
        <w:ind w:left="4596" w:right="23" w:firstLine="1068"/>
        <w:jc w:val="both"/>
        <w:rPr>
          <w:rFonts w:ascii="Book Antiqua" w:hAnsi="Book Antiqua"/>
          <w:szCs w:val="24"/>
        </w:rPr>
      </w:pPr>
    </w:p>
    <w:p w:rsidR="00AE0682" w:rsidRPr="00AE0682" w:rsidRDefault="00AE0682" w:rsidP="00AE0682">
      <w:pPr>
        <w:suppressAutoHyphens w:val="0"/>
        <w:ind w:left="4596" w:right="23" w:firstLine="1068"/>
        <w:jc w:val="both"/>
        <w:rPr>
          <w:rFonts w:ascii="Book Antiqua" w:hAnsi="Book Antiqua"/>
          <w:szCs w:val="24"/>
        </w:rPr>
      </w:pPr>
    </w:p>
    <w:p w:rsidR="00AE0682" w:rsidRPr="00AE0682" w:rsidRDefault="00AE0682" w:rsidP="00AE0682">
      <w:pPr>
        <w:suppressAutoHyphens w:val="0"/>
        <w:ind w:left="4596" w:right="23" w:firstLine="1068"/>
        <w:jc w:val="both"/>
        <w:rPr>
          <w:rFonts w:ascii="Book Antiqua" w:hAnsi="Book Antiqua"/>
          <w:szCs w:val="24"/>
        </w:rPr>
      </w:pPr>
    </w:p>
    <w:p w:rsidR="00AE0682" w:rsidRPr="00AE0682" w:rsidRDefault="00AE0682" w:rsidP="00AE0682">
      <w:pPr>
        <w:suppressAutoHyphens w:val="0"/>
        <w:ind w:left="4596" w:right="23" w:firstLine="1068"/>
        <w:jc w:val="both"/>
        <w:rPr>
          <w:rFonts w:ascii="Book Antiqua" w:hAnsi="Book Antiqua"/>
          <w:szCs w:val="24"/>
        </w:rPr>
      </w:pPr>
    </w:p>
    <w:p w:rsidR="00AE0682" w:rsidRPr="00AE0682" w:rsidRDefault="00AE0682" w:rsidP="00AE0682">
      <w:pPr>
        <w:suppressAutoHyphens w:val="0"/>
        <w:ind w:left="4596" w:right="23" w:firstLine="1068"/>
        <w:jc w:val="both"/>
        <w:rPr>
          <w:rFonts w:ascii="Book Antiqua" w:hAnsi="Book Antiqua"/>
          <w:szCs w:val="24"/>
        </w:rPr>
      </w:pPr>
    </w:p>
    <w:p w:rsidR="00AE0682" w:rsidRPr="00AE0682" w:rsidRDefault="00AE0682" w:rsidP="00AE0682">
      <w:pPr>
        <w:suppressAutoHyphens w:val="0"/>
        <w:ind w:left="4596" w:right="23" w:firstLine="1068"/>
        <w:jc w:val="both"/>
        <w:rPr>
          <w:rFonts w:ascii="Book Antiqua" w:hAnsi="Book Antiqua"/>
          <w:szCs w:val="24"/>
        </w:rPr>
      </w:pPr>
    </w:p>
    <w:p w:rsidR="00AE0682" w:rsidRPr="00AE0682" w:rsidRDefault="00AE0682" w:rsidP="00AE0682">
      <w:pPr>
        <w:suppressAutoHyphens w:val="0"/>
        <w:ind w:left="5664" w:right="23"/>
        <w:jc w:val="both"/>
        <w:rPr>
          <w:rFonts w:ascii="Book Antiqua" w:hAnsi="Book Antiqua"/>
          <w:szCs w:val="24"/>
        </w:rPr>
      </w:pPr>
      <w:r w:rsidRPr="00AE0682">
        <w:rPr>
          <w:rFonts w:ascii="Book Antiqua" w:hAnsi="Book Antiqua"/>
          <w:szCs w:val="24"/>
        </w:rPr>
        <w:t xml:space="preserve">               Róth Ervin</w:t>
      </w:r>
    </w:p>
    <w:p w:rsidR="00AE0682" w:rsidRPr="00AE0682" w:rsidRDefault="00AE0682" w:rsidP="00AE0682">
      <w:pPr>
        <w:suppressAutoHyphens w:val="0"/>
        <w:ind w:left="-360" w:right="23" w:firstLine="360"/>
        <w:jc w:val="both"/>
        <w:rPr>
          <w:rFonts w:ascii="Book Antiqua" w:hAnsi="Book Antiqua"/>
          <w:szCs w:val="24"/>
        </w:rPr>
      </w:pPr>
      <w:r w:rsidRPr="00AE0682">
        <w:rPr>
          <w:rFonts w:ascii="Book Antiqua" w:hAnsi="Book Antiqua"/>
          <w:szCs w:val="24"/>
        </w:rPr>
        <w:tab/>
      </w:r>
      <w:r w:rsidRPr="00AE0682">
        <w:rPr>
          <w:rFonts w:ascii="Book Antiqua" w:hAnsi="Book Antiqua"/>
          <w:sz w:val="20"/>
          <w:szCs w:val="24"/>
        </w:rPr>
        <w:tab/>
      </w:r>
      <w:r w:rsidRPr="00AE0682">
        <w:rPr>
          <w:rFonts w:ascii="Book Antiqua" w:hAnsi="Book Antiqua"/>
          <w:sz w:val="20"/>
          <w:szCs w:val="24"/>
        </w:rPr>
        <w:tab/>
      </w:r>
      <w:r w:rsidRPr="00AE0682">
        <w:rPr>
          <w:rFonts w:ascii="Book Antiqua" w:hAnsi="Book Antiqua"/>
          <w:sz w:val="20"/>
          <w:szCs w:val="24"/>
        </w:rPr>
        <w:tab/>
      </w:r>
      <w:r w:rsidRPr="00AE0682">
        <w:rPr>
          <w:rFonts w:ascii="Book Antiqua" w:hAnsi="Book Antiqua"/>
          <w:sz w:val="20"/>
          <w:szCs w:val="24"/>
        </w:rPr>
        <w:tab/>
      </w:r>
      <w:r w:rsidRPr="00AE0682">
        <w:rPr>
          <w:rFonts w:ascii="Book Antiqua" w:hAnsi="Book Antiqua"/>
          <w:sz w:val="20"/>
          <w:szCs w:val="24"/>
        </w:rPr>
        <w:tab/>
      </w:r>
      <w:r w:rsidRPr="00AE0682">
        <w:rPr>
          <w:rFonts w:ascii="Book Antiqua" w:hAnsi="Book Antiqua"/>
          <w:sz w:val="20"/>
          <w:szCs w:val="24"/>
        </w:rPr>
        <w:tab/>
      </w:r>
      <w:r w:rsidRPr="00AE0682">
        <w:rPr>
          <w:rFonts w:ascii="Book Antiqua" w:hAnsi="Book Antiqua"/>
          <w:sz w:val="20"/>
          <w:szCs w:val="24"/>
        </w:rPr>
        <w:tab/>
        <w:t xml:space="preserve">    </w:t>
      </w:r>
      <w:r w:rsidRPr="00AE0682">
        <w:rPr>
          <w:rFonts w:ascii="Book Antiqua" w:hAnsi="Book Antiqua"/>
          <w:sz w:val="20"/>
          <w:szCs w:val="24"/>
        </w:rPr>
        <w:tab/>
      </w:r>
      <w:r w:rsidRPr="00AE0682">
        <w:rPr>
          <w:rFonts w:ascii="Book Antiqua" w:hAnsi="Book Antiqua"/>
          <w:szCs w:val="24"/>
        </w:rPr>
        <w:t xml:space="preserve">    </w:t>
      </w:r>
      <w:proofErr w:type="gramStart"/>
      <w:r w:rsidRPr="00AE0682">
        <w:rPr>
          <w:rFonts w:ascii="Book Antiqua" w:hAnsi="Book Antiqua"/>
          <w:szCs w:val="24"/>
        </w:rPr>
        <w:t>ügyvezető</w:t>
      </w:r>
      <w:proofErr w:type="gramEnd"/>
    </w:p>
    <w:p w:rsidR="008529C6" w:rsidRDefault="008529C6">
      <w:bookmarkStart w:id="3" w:name="_GoBack"/>
      <w:bookmarkEnd w:id="3"/>
    </w:p>
    <w:p w:rsidR="008529C6" w:rsidRDefault="008529C6"/>
    <w:p w:rsidR="008529C6" w:rsidRDefault="008529C6">
      <w:pPr>
        <w:sectPr w:rsidR="008529C6" w:rsidSect="00AE0682">
          <w:pgSz w:w="11906" w:h="16838"/>
          <w:pgMar w:top="851" w:right="1418" w:bottom="709" w:left="1418" w:header="709" w:footer="709" w:gutter="0"/>
          <w:cols w:space="708"/>
          <w:titlePg/>
          <w:docGrid w:linePitch="360"/>
        </w:sectPr>
      </w:pPr>
    </w:p>
    <w:tbl>
      <w:tblPr>
        <w:tblW w:w="15862" w:type="dxa"/>
        <w:tblInd w:w="-72" w:type="dxa"/>
        <w:tblLayout w:type="fixed"/>
        <w:tblCellMar>
          <w:left w:w="70" w:type="dxa"/>
          <w:right w:w="70" w:type="dxa"/>
        </w:tblCellMar>
        <w:tblLook w:val="04A0" w:firstRow="1" w:lastRow="0" w:firstColumn="1" w:lastColumn="0" w:noHBand="0" w:noVBand="1"/>
      </w:tblPr>
      <w:tblGrid>
        <w:gridCol w:w="359"/>
        <w:gridCol w:w="1841"/>
        <w:gridCol w:w="792"/>
        <w:gridCol w:w="665"/>
        <w:gridCol w:w="753"/>
        <w:gridCol w:w="708"/>
        <w:gridCol w:w="709"/>
        <w:gridCol w:w="851"/>
        <w:gridCol w:w="709"/>
        <w:gridCol w:w="850"/>
        <w:gridCol w:w="709"/>
        <w:gridCol w:w="694"/>
        <w:gridCol w:w="709"/>
        <w:gridCol w:w="709"/>
        <w:gridCol w:w="709"/>
        <w:gridCol w:w="567"/>
        <w:gridCol w:w="708"/>
        <w:gridCol w:w="709"/>
        <w:gridCol w:w="709"/>
        <w:gridCol w:w="709"/>
        <w:gridCol w:w="693"/>
      </w:tblGrid>
      <w:tr w:rsidR="008529C6" w:rsidRPr="008529C6" w:rsidTr="008529C6">
        <w:trPr>
          <w:trHeight w:val="264"/>
        </w:trPr>
        <w:tc>
          <w:tcPr>
            <w:tcW w:w="3657" w:type="dxa"/>
            <w:gridSpan w:val="4"/>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lastRenderedPageBreak/>
              <w:t xml:space="preserve">          Törökszentmiklósi Kommunális Szolgáltató Nonprofit Kft</w:t>
            </w:r>
          </w:p>
        </w:tc>
        <w:tc>
          <w:tcPr>
            <w:tcW w:w="753"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8"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85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85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69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567"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8"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693"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right"/>
              <w:rPr>
                <w:rFonts w:ascii="Arial CE" w:hAnsi="Arial CE"/>
                <w:sz w:val="18"/>
                <w:szCs w:val="18"/>
              </w:rPr>
            </w:pPr>
            <w:r w:rsidRPr="008529C6">
              <w:rPr>
                <w:rFonts w:ascii="Arial CE" w:hAnsi="Arial CE"/>
                <w:sz w:val="18"/>
                <w:szCs w:val="18"/>
              </w:rPr>
              <w:t>1</w:t>
            </w:r>
            <w:proofErr w:type="gramStart"/>
            <w:r w:rsidRPr="008529C6">
              <w:rPr>
                <w:rFonts w:ascii="Arial CE" w:hAnsi="Arial CE"/>
                <w:sz w:val="18"/>
                <w:szCs w:val="18"/>
              </w:rPr>
              <w:t>.sz.mell</w:t>
            </w:r>
            <w:proofErr w:type="gramEnd"/>
            <w:r w:rsidRPr="008529C6">
              <w:rPr>
                <w:rFonts w:ascii="Arial CE" w:hAnsi="Arial CE"/>
                <w:sz w:val="18"/>
                <w:szCs w:val="18"/>
              </w:rPr>
              <w:t>éklet</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p>
        </w:tc>
        <w:tc>
          <w:tcPr>
            <w:tcW w:w="18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66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53"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8"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85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85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69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567"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8"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693"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p>
        </w:tc>
        <w:tc>
          <w:tcPr>
            <w:tcW w:w="184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92"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665"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53"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8"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851"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850"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694"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567"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8"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709"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c>
          <w:tcPr>
            <w:tcW w:w="693" w:type="dxa"/>
            <w:tcBorders>
              <w:top w:val="nil"/>
              <w:left w:val="nil"/>
              <w:bottom w:val="nil"/>
              <w:right w:val="nil"/>
            </w:tcBorders>
            <w:shd w:val="clear" w:color="auto" w:fill="auto"/>
            <w:noWrap/>
            <w:vAlign w:val="bottom"/>
            <w:hideMark/>
          </w:tcPr>
          <w:p w:rsidR="008529C6" w:rsidRPr="008529C6" w:rsidRDefault="008529C6" w:rsidP="008529C6">
            <w:pPr>
              <w:suppressAutoHyphens w:val="0"/>
              <w:rPr>
                <w:rFonts w:ascii="Arial CE" w:hAnsi="Arial CE"/>
                <w:sz w:val="18"/>
                <w:szCs w:val="18"/>
              </w:rPr>
            </w:pPr>
          </w:p>
        </w:tc>
      </w:tr>
      <w:tr w:rsidR="008529C6" w:rsidRPr="008529C6" w:rsidTr="008529C6">
        <w:trPr>
          <w:trHeight w:val="420"/>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p>
        </w:tc>
        <w:tc>
          <w:tcPr>
            <w:tcW w:w="15503" w:type="dxa"/>
            <w:gridSpan w:val="20"/>
            <w:tcBorders>
              <w:top w:val="nil"/>
              <w:left w:val="nil"/>
              <w:bottom w:val="single" w:sz="8" w:space="0" w:color="auto"/>
              <w:right w:val="nil"/>
            </w:tcBorders>
            <w:shd w:val="clear" w:color="auto" w:fill="auto"/>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2019. ÉVI TEVÉKENYSÉGENKÉNTI EREDMÉNY KIMUTATÁS (EFT)</w:t>
            </w:r>
          </w:p>
        </w:tc>
      </w:tr>
      <w:tr w:rsidR="008529C6" w:rsidRPr="008529C6" w:rsidTr="008529C6">
        <w:trPr>
          <w:trHeight w:val="3180"/>
        </w:trPr>
        <w:tc>
          <w:tcPr>
            <w:tcW w:w="359" w:type="dxa"/>
            <w:tcBorders>
              <w:top w:val="nil"/>
              <w:left w:val="nil"/>
              <w:bottom w:val="nil"/>
              <w:right w:val="nil"/>
            </w:tcBorders>
            <w:shd w:val="clear" w:color="auto" w:fill="auto"/>
            <w:noWrap/>
            <w:textDirection w:val="btLr"/>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Sorszám</w:t>
            </w:r>
          </w:p>
        </w:tc>
        <w:tc>
          <w:tcPr>
            <w:tcW w:w="1841" w:type="dxa"/>
            <w:tcBorders>
              <w:top w:val="nil"/>
              <w:left w:val="single" w:sz="8" w:space="0" w:color="auto"/>
              <w:bottom w:val="single" w:sz="8" w:space="0" w:color="auto"/>
              <w:right w:val="single" w:sz="4" w:space="0" w:color="auto"/>
            </w:tcBorders>
            <w:shd w:val="clear" w:color="auto" w:fill="auto"/>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Megnevezés</w:t>
            </w:r>
          </w:p>
        </w:tc>
        <w:tc>
          <w:tcPr>
            <w:tcW w:w="792" w:type="dxa"/>
            <w:tcBorders>
              <w:top w:val="nil"/>
              <w:left w:val="nil"/>
              <w:bottom w:val="single" w:sz="8" w:space="0" w:color="auto"/>
              <w:right w:val="single" w:sz="4" w:space="0" w:color="auto"/>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 xml:space="preserve">Síkosság </w:t>
            </w:r>
            <w:proofErr w:type="gramStart"/>
            <w:r w:rsidRPr="008529C6">
              <w:rPr>
                <w:rFonts w:ascii="Arial CE" w:hAnsi="Arial CE"/>
                <w:b/>
                <w:bCs/>
                <w:sz w:val="18"/>
                <w:szCs w:val="18"/>
              </w:rPr>
              <w:t>mentesítés</w:t>
            </w:r>
            <w:proofErr w:type="gramEnd"/>
          </w:p>
        </w:tc>
        <w:tc>
          <w:tcPr>
            <w:tcW w:w="665" w:type="dxa"/>
            <w:tcBorders>
              <w:top w:val="nil"/>
              <w:left w:val="nil"/>
              <w:bottom w:val="single" w:sz="8" w:space="0" w:color="auto"/>
              <w:right w:val="single" w:sz="4" w:space="0" w:color="auto"/>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Vásártér üzemeltetés</w:t>
            </w:r>
          </w:p>
        </w:tc>
        <w:tc>
          <w:tcPr>
            <w:tcW w:w="753" w:type="dxa"/>
            <w:tcBorders>
              <w:top w:val="nil"/>
              <w:left w:val="nil"/>
              <w:bottom w:val="single" w:sz="8" w:space="0" w:color="auto"/>
              <w:right w:val="single" w:sz="4" w:space="0" w:color="auto"/>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 xml:space="preserve">Piac </w:t>
            </w:r>
            <w:proofErr w:type="gramStart"/>
            <w:r w:rsidRPr="008529C6">
              <w:rPr>
                <w:rFonts w:ascii="Arial CE" w:hAnsi="Arial CE"/>
                <w:b/>
                <w:bCs/>
                <w:sz w:val="18"/>
                <w:szCs w:val="18"/>
              </w:rPr>
              <w:t>csarnok üzemeltetés</w:t>
            </w:r>
            <w:proofErr w:type="gramEnd"/>
          </w:p>
        </w:tc>
        <w:tc>
          <w:tcPr>
            <w:tcW w:w="708" w:type="dxa"/>
            <w:tcBorders>
              <w:top w:val="nil"/>
              <w:left w:val="nil"/>
              <w:bottom w:val="single" w:sz="8" w:space="0" w:color="auto"/>
              <w:right w:val="single" w:sz="4" w:space="0" w:color="auto"/>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proofErr w:type="gramStart"/>
            <w:r w:rsidRPr="008529C6">
              <w:rPr>
                <w:rFonts w:ascii="Arial CE" w:hAnsi="Arial CE"/>
                <w:b/>
                <w:bCs/>
                <w:sz w:val="18"/>
                <w:szCs w:val="18"/>
              </w:rPr>
              <w:t>Piac üzemeltetés</w:t>
            </w:r>
            <w:proofErr w:type="gramEnd"/>
          </w:p>
        </w:tc>
        <w:tc>
          <w:tcPr>
            <w:tcW w:w="709" w:type="dxa"/>
            <w:tcBorders>
              <w:top w:val="nil"/>
              <w:left w:val="nil"/>
              <w:bottom w:val="single" w:sz="8" w:space="0" w:color="auto"/>
              <w:right w:val="single" w:sz="4" w:space="0" w:color="auto"/>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 xml:space="preserve">Strand és </w:t>
            </w:r>
            <w:proofErr w:type="gramStart"/>
            <w:r w:rsidRPr="008529C6">
              <w:rPr>
                <w:rFonts w:ascii="Arial CE" w:hAnsi="Arial CE"/>
                <w:b/>
                <w:bCs/>
                <w:sz w:val="18"/>
                <w:szCs w:val="18"/>
              </w:rPr>
              <w:t>kemping üzemeltetés</w:t>
            </w:r>
            <w:proofErr w:type="gramEnd"/>
          </w:p>
        </w:tc>
        <w:tc>
          <w:tcPr>
            <w:tcW w:w="851" w:type="dxa"/>
            <w:tcBorders>
              <w:top w:val="nil"/>
              <w:left w:val="nil"/>
              <w:bottom w:val="single" w:sz="8" w:space="0" w:color="auto"/>
              <w:right w:val="single" w:sz="4" w:space="0" w:color="auto"/>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proofErr w:type="gramStart"/>
            <w:r w:rsidRPr="008529C6">
              <w:rPr>
                <w:rFonts w:ascii="Arial CE" w:hAnsi="Arial CE"/>
                <w:b/>
                <w:bCs/>
                <w:sz w:val="18"/>
                <w:szCs w:val="18"/>
              </w:rPr>
              <w:t>Törökszentmiklós                                                          (</w:t>
            </w:r>
            <w:proofErr w:type="gramEnd"/>
            <w:r w:rsidRPr="008529C6">
              <w:rPr>
                <w:rFonts w:ascii="Arial CE" w:hAnsi="Arial CE"/>
                <w:b/>
                <w:bCs/>
                <w:sz w:val="18"/>
                <w:szCs w:val="18"/>
              </w:rPr>
              <w:t>alvállalkozói teljesítés)</w:t>
            </w:r>
          </w:p>
        </w:tc>
        <w:tc>
          <w:tcPr>
            <w:tcW w:w="709" w:type="dxa"/>
            <w:tcBorders>
              <w:top w:val="nil"/>
              <w:left w:val="nil"/>
              <w:bottom w:val="single" w:sz="8" w:space="0" w:color="auto"/>
              <w:right w:val="single" w:sz="4" w:space="0" w:color="auto"/>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proofErr w:type="gramStart"/>
            <w:r w:rsidRPr="008529C6">
              <w:rPr>
                <w:rFonts w:ascii="Arial CE" w:hAnsi="Arial CE"/>
                <w:b/>
                <w:bCs/>
                <w:sz w:val="18"/>
                <w:szCs w:val="18"/>
              </w:rPr>
              <w:t>Tiszatenyő                                                  (</w:t>
            </w:r>
            <w:proofErr w:type="gramEnd"/>
            <w:r w:rsidRPr="008529C6">
              <w:rPr>
                <w:rFonts w:ascii="Arial CE" w:hAnsi="Arial CE"/>
                <w:b/>
                <w:bCs/>
                <w:sz w:val="18"/>
                <w:szCs w:val="18"/>
              </w:rPr>
              <w:t>alvállalkozói teljesítés)</w:t>
            </w:r>
          </w:p>
        </w:tc>
        <w:tc>
          <w:tcPr>
            <w:tcW w:w="850" w:type="dxa"/>
            <w:tcBorders>
              <w:top w:val="nil"/>
              <w:left w:val="nil"/>
              <w:bottom w:val="single" w:sz="8" w:space="0" w:color="auto"/>
              <w:right w:val="single" w:sz="4" w:space="0" w:color="auto"/>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VEGYTEK telephely, iparvágány üzemeltetés</w:t>
            </w:r>
          </w:p>
        </w:tc>
        <w:tc>
          <w:tcPr>
            <w:tcW w:w="709" w:type="dxa"/>
            <w:tcBorders>
              <w:top w:val="nil"/>
              <w:left w:val="nil"/>
              <w:bottom w:val="single" w:sz="8" w:space="0" w:color="auto"/>
              <w:right w:val="nil"/>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Közterületi hulladékgyűjtő edények ürítése</w:t>
            </w:r>
          </w:p>
        </w:tc>
        <w:tc>
          <w:tcPr>
            <w:tcW w:w="694" w:type="dxa"/>
            <w:tcBorders>
              <w:top w:val="nil"/>
              <w:left w:val="single" w:sz="4" w:space="0" w:color="auto"/>
              <w:bottom w:val="single" w:sz="8" w:space="0" w:color="auto"/>
              <w:right w:val="nil"/>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 xml:space="preserve">Park, zöldterület karbantartás </w:t>
            </w:r>
          </w:p>
        </w:tc>
        <w:tc>
          <w:tcPr>
            <w:tcW w:w="709" w:type="dxa"/>
            <w:tcBorders>
              <w:top w:val="nil"/>
              <w:left w:val="single" w:sz="4" w:space="0" w:color="auto"/>
              <w:bottom w:val="single" w:sz="8" w:space="0" w:color="auto"/>
              <w:right w:val="nil"/>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proofErr w:type="gramStart"/>
            <w:r w:rsidRPr="008529C6">
              <w:rPr>
                <w:rFonts w:ascii="Arial CE" w:hAnsi="Arial CE"/>
                <w:b/>
                <w:bCs/>
                <w:sz w:val="18"/>
                <w:szCs w:val="18"/>
              </w:rPr>
              <w:t>Pad-játék karbantartás</w:t>
            </w:r>
            <w:proofErr w:type="gramEnd"/>
          </w:p>
        </w:tc>
        <w:tc>
          <w:tcPr>
            <w:tcW w:w="709" w:type="dxa"/>
            <w:tcBorders>
              <w:top w:val="nil"/>
              <w:left w:val="single" w:sz="4" w:space="0" w:color="auto"/>
              <w:bottom w:val="single" w:sz="8" w:space="0" w:color="auto"/>
              <w:right w:val="nil"/>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Közút tartozék</w:t>
            </w:r>
          </w:p>
        </w:tc>
        <w:tc>
          <w:tcPr>
            <w:tcW w:w="709" w:type="dxa"/>
            <w:tcBorders>
              <w:top w:val="nil"/>
              <w:left w:val="single" w:sz="4" w:space="0" w:color="auto"/>
              <w:bottom w:val="single" w:sz="8" w:space="0" w:color="auto"/>
              <w:right w:val="nil"/>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Csapadék víz</w:t>
            </w:r>
          </w:p>
        </w:tc>
        <w:tc>
          <w:tcPr>
            <w:tcW w:w="567" w:type="dxa"/>
            <w:tcBorders>
              <w:top w:val="nil"/>
              <w:left w:val="single" w:sz="4" w:space="0" w:color="auto"/>
              <w:bottom w:val="single" w:sz="8" w:space="0" w:color="auto"/>
              <w:right w:val="nil"/>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Gyepmesteri szolgáltatás</w:t>
            </w:r>
          </w:p>
        </w:tc>
        <w:tc>
          <w:tcPr>
            <w:tcW w:w="708" w:type="dxa"/>
            <w:tcBorders>
              <w:top w:val="nil"/>
              <w:left w:val="single" w:sz="4" w:space="0" w:color="auto"/>
              <w:bottom w:val="single" w:sz="8" w:space="0" w:color="auto"/>
              <w:right w:val="nil"/>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proofErr w:type="gramStart"/>
            <w:r w:rsidRPr="008529C6">
              <w:rPr>
                <w:rFonts w:ascii="Arial CE" w:hAnsi="Arial CE"/>
                <w:b/>
                <w:bCs/>
                <w:sz w:val="18"/>
                <w:szCs w:val="18"/>
              </w:rPr>
              <w:t>Szállítás vállalkozás</w:t>
            </w:r>
            <w:proofErr w:type="gramEnd"/>
          </w:p>
        </w:tc>
        <w:tc>
          <w:tcPr>
            <w:tcW w:w="709" w:type="dxa"/>
            <w:tcBorders>
              <w:top w:val="nil"/>
              <w:left w:val="single" w:sz="4" w:space="0" w:color="auto"/>
              <w:bottom w:val="single" w:sz="8" w:space="0" w:color="auto"/>
              <w:right w:val="nil"/>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Egyéb tevékenység</w:t>
            </w:r>
          </w:p>
        </w:tc>
        <w:tc>
          <w:tcPr>
            <w:tcW w:w="709" w:type="dxa"/>
            <w:tcBorders>
              <w:top w:val="nil"/>
              <w:left w:val="single" w:sz="4" w:space="0" w:color="auto"/>
              <w:bottom w:val="single" w:sz="8" w:space="0" w:color="auto"/>
              <w:right w:val="single" w:sz="4" w:space="0" w:color="auto"/>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 xml:space="preserve">Kertész  u. 10. szám alatti </w:t>
            </w:r>
            <w:proofErr w:type="gramStart"/>
            <w:r w:rsidRPr="008529C6">
              <w:rPr>
                <w:rFonts w:ascii="Arial CE" w:hAnsi="Arial CE"/>
                <w:b/>
                <w:bCs/>
                <w:sz w:val="18"/>
                <w:szCs w:val="18"/>
              </w:rPr>
              <w:t>üzlet üzemeltetés</w:t>
            </w:r>
            <w:proofErr w:type="gramEnd"/>
          </w:p>
        </w:tc>
        <w:tc>
          <w:tcPr>
            <w:tcW w:w="709" w:type="dxa"/>
            <w:tcBorders>
              <w:top w:val="nil"/>
              <w:left w:val="nil"/>
              <w:bottom w:val="single" w:sz="8" w:space="0" w:color="auto"/>
              <w:right w:val="single" w:sz="4" w:space="0" w:color="auto"/>
            </w:tcBorders>
            <w:shd w:val="clear" w:color="auto" w:fill="auto"/>
            <w:textDirection w:val="btLr"/>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 xml:space="preserve">Kertész  u. 10. szám alatti </w:t>
            </w:r>
            <w:proofErr w:type="gramStart"/>
            <w:r w:rsidRPr="008529C6">
              <w:rPr>
                <w:rFonts w:ascii="Arial CE" w:hAnsi="Arial CE"/>
                <w:b/>
                <w:bCs/>
                <w:sz w:val="18"/>
                <w:szCs w:val="18"/>
              </w:rPr>
              <w:t>posta üzemeltetés</w:t>
            </w:r>
            <w:proofErr w:type="gramEnd"/>
          </w:p>
        </w:tc>
        <w:tc>
          <w:tcPr>
            <w:tcW w:w="693" w:type="dxa"/>
            <w:tcBorders>
              <w:top w:val="nil"/>
              <w:left w:val="nil"/>
              <w:bottom w:val="single" w:sz="8" w:space="0" w:color="auto"/>
              <w:right w:val="single" w:sz="8" w:space="0" w:color="auto"/>
            </w:tcBorders>
            <w:shd w:val="clear" w:color="auto" w:fill="auto"/>
            <w:vAlign w:val="center"/>
            <w:hideMark/>
          </w:tcPr>
          <w:p w:rsidR="008529C6" w:rsidRPr="008529C6" w:rsidRDefault="008529C6" w:rsidP="008529C6">
            <w:pPr>
              <w:suppressAutoHyphens w:val="0"/>
              <w:jc w:val="center"/>
              <w:rPr>
                <w:rFonts w:ascii="Arial CE" w:hAnsi="Arial CE"/>
                <w:b/>
                <w:bCs/>
                <w:sz w:val="18"/>
                <w:szCs w:val="18"/>
              </w:rPr>
            </w:pPr>
            <w:r w:rsidRPr="008529C6">
              <w:rPr>
                <w:rFonts w:ascii="Arial CE" w:hAnsi="Arial CE"/>
                <w:b/>
                <w:bCs/>
                <w:sz w:val="18"/>
                <w:szCs w:val="18"/>
              </w:rPr>
              <w:t xml:space="preserve">ÖSSZESEN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1</w:t>
            </w:r>
          </w:p>
        </w:tc>
        <w:tc>
          <w:tcPr>
            <w:tcW w:w="1841" w:type="dxa"/>
            <w:tcBorders>
              <w:top w:val="nil"/>
              <w:left w:val="single" w:sz="8"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anyagköltség </w:t>
            </w:r>
          </w:p>
        </w:tc>
        <w:tc>
          <w:tcPr>
            <w:tcW w:w="792"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5 523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15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454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5 697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8 489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534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276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729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4 396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648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518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95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380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736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566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15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29 070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2</w:t>
            </w:r>
          </w:p>
        </w:tc>
        <w:tc>
          <w:tcPr>
            <w:tcW w:w="1841" w:type="dxa"/>
            <w:tcBorders>
              <w:top w:val="nil"/>
              <w:left w:val="single" w:sz="8" w:space="0" w:color="auto"/>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éven belül elhasználódó anyagi eszközök</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23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17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130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12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268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3</w:t>
            </w:r>
          </w:p>
        </w:tc>
        <w:tc>
          <w:tcPr>
            <w:tcW w:w="1841" w:type="dxa"/>
            <w:tcBorders>
              <w:top w:val="nil"/>
              <w:left w:val="single" w:sz="8" w:space="0" w:color="auto"/>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üzemanyag, kenőanyag</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441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15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124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12 537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684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57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1 547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115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220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1 845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120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17 892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4</w:t>
            </w:r>
          </w:p>
        </w:tc>
        <w:tc>
          <w:tcPr>
            <w:tcW w:w="1841" w:type="dxa"/>
            <w:tcBorders>
              <w:top w:val="nil"/>
              <w:left w:val="single" w:sz="8" w:space="0" w:color="auto"/>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proofErr w:type="spellStart"/>
            <w:r w:rsidRPr="008529C6">
              <w:rPr>
                <w:rFonts w:ascii="Arial CE" w:hAnsi="Arial CE"/>
                <w:sz w:val="18"/>
                <w:szCs w:val="18"/>
              </w:rPr>
              <w:t>villamosenergia</w:t>
            </w:r>
            <w:proofErr w:type="spellEnd"/>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Pr>
                <w:rFonts w:ascii="Arial CE" w:hAnsi="Arial CE"/>
                <w:sz w:val="18"/>
                <w:szCs w:val="18"/>
              </w:rPr>
              <w:t xml:space="preserve">        </w:t>
            </w:r>
            <w:r w:rsidRPr="008529C6">
              <w:rPr>
                <w:rFonts w:ascii="Arial CE" w:hAnsi="Arial CE"/>
                <w:sz w:val="18"/>
                <w:szCs w:val="18"/>
              </w:rPr>
              <w:t xml:space="preserve"> -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217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7 124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2 426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1 126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131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11 103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5</w:t>
            </w:r>
          </w:p>
        </w:tc>
        <w:tc>
          <w:tcPr>
            <w:tcW w:w="1841" w:type="dxa"/>
            <w:tcBorders>
              <w:top w:val="nil"/>
              <w:left w:val="single" w:sz="8" w:space="0" w:color="auto"/>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földgáz</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63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115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19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151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20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523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188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12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128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14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1 311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6</w:t>
            </w:r>
          </w:p>
        </w:tc>
        <w:tc>
          <w:tcPr>
            <w:tcW w:w="1841" w:type="dxa"/>
            <w:tcBorders>
              <w:top w:val="nil"/>
              <w:left w:val="single" w:sz="8" w:space="0" w:color="auto"/>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vízdíj</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19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2 652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2 769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7</w:t>
            </w:r>
          </w:p>
        </w:tc>
        <w:tc>
          <w:tcPr>
            <w:tcW w:w="1841" w:type="dxa"/>
            <w:tcBorders>
              <w:top w:val="nil"/>
              <w:left w:val="single" w:sz="8" w:space="0" w:color="auto"/>
              <w:bottom w:val="nil"/>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irodaszer, nyomtatvány</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16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109    </w:t>
            </w:r>
          </w:p>
        </w:tc>
      </w:tr>
      <w:tr w:rsidR="008529C6" w:rsidRPr="008529C6" w:rsidTr="008529C6">
        <w:trPr>
          <w:trHeight w:val="276"/>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8</w:t>
            </w:r>
          </w:p>
        </w:tc>
        <w:tc>
          <w:tcPr>
            <w:tcW w:w="1841" w:type="dxa"/>
            <w:tcBorders>
              <w:top w:val="single" w:sz="4" w:space="0" w:color="auto"/>
              <w:left w:val="single" w:sz="8" w:space="0" w:color="auto"/>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védő eszközök</w:t>
            </w:r>
            <w:proofErr w:type="gramStart"/>
            <w:r w:rsidRPr="008529C6">
              <w:rPr>
                <w:rFonts w:ascii="Arial CE" w:hAnsi="Arial CE"/>
                <w:sz w:val="18"/>
                <w:szCs w:val="18"/>
              </w:rPr>
              <w:t>,munkaruha</w:t>
            </w:r>
            <w:proofErr w:type="gramEnd"/>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40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95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393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1 086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57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473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134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12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18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2 539    </w:t>
            </w:r>
          </w:p>
        </w:tc>
      </w:tr>
      <w:tr w:rsidR="008529C6" w:rsidRPr="008529C6" w:rsidTr="008529C6">
        <w:trPr>
          <w:trHeight w:val="276"/>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9</w:t>
            </w:r>
          </w:p>
        </w:tc>
        <w:tc>
          <w:tcPr>
            <w:tcW w:w="1841" w:type="dxa"/>
            <w:tcBorders>
              <w:top w:val="single" w:sz="8" w:space="0" w:color="auto"/>
              <w:left w:val="single" w:sz="8" w:space="0" w:color="auto"/>
              <w:bottom w:val="single" w:sz="8"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Anyagköltség összesen</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6 091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42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236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831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16 042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22 360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1 302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3 402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793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6 734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819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603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457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2 296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908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1 958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185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65 060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10</w:t>
            </w:r>
          </w:p>
        </w:tc>
        <w:tc>
          <w:tcPr>
            <w:tcW w:w="1841" w:type="dxa"/>
            <w:tcBorders>
              <w:top w:val="nil"/>
              <w:left w:val="single" w:sz="8" w:space="0" w:color="auto"/>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szállítás, rakodás</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218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29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705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294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1 343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11</w:t>
            </w:r>
          </w:p>
        </w:tc>
        <w:tc>
          <w:tcPr>
            <w:tcW w:w="1841" w:type="dxa"/>
            <w:tcBorders>
              <w:top w:val="nil"/>
              <w:left w:val="single" w:sz="8" w:space="0" w:color="auto"/>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bérleti díjak</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87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15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726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741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10 304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24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12 055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12</w:t>
            </w:r>
          </w:p>
        </w:tc>
        <w:tc>
          <w:tcPr>
            <w:tcW w:w="1841" w:type="dxa"/>
            <w:tcBorders>
              <w:top w:val="nil"/>
              <w:left w:val="single" w:sz="8" w:space="0" w:color="auto"/>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karbantartási költség, külső </w:t>
            </w:r>
            <w:r w:rsidRPr="008529C6">
              <w:rPr>
                <w:rFonts w:ascii="Arial CE" w:hAnsi="Arial CE"/>
                <w:sz w:val="18"/>
                <w:szCs w:val="18"/>
              </w:rPr>
              <w:lastRenderedPageBreak/>
              <w:t>javítások</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lastRenderedPageBreak/>
              <w:t xml:space="preserve">         404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13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298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95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2 443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6 761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205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1 505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79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371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110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72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145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377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435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398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15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13 730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lastRenderedPageBreak/>
              <w:t>13</w:t>
            </w:r>
          </w:p>
        </w:tc>
        <w:tc>
          <w:tcPr>
            <w:tcW w:w="1841" w:type="dxa"/>
            <w:tcBorders>
              <w:top w:val="nil"/>
              <w:left w:val="single" w:sz="8" w:space="0" w:color="auto"/>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hirdetés</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11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16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97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230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397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14</w:t>
            </w:r>
          </w:p>
        </w:tc>
        <w:tc>
          <w:tcPr>
            <w:tcW w:w="1841" w:type="dxa"/>
            <w:tcBorders>
              <w:top w:val="nil"/>
              <w:left w:val="single" w:sz="8" w:space="0" w:color="auto"/>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posta</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22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16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95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130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354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15</w:t>
            </w:r>
          </w:p>
        </w:tc>
        <w:tc>
          <w:tcPr>
            <w:tcW w:w="1841" w:type="dxa"/>
            <w:tcBorders>
              <w:top w:val="nil"/>
              <w:left w:val="single" w:sz="8" w:space="0" w:color="auto"/>
              <w:bottom w:val="nil"/>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távközlés</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21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271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545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198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20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118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84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227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18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1 632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16</w:t>
            </w:r>
          </w:p>
        </w:tc>
        <w:tc>
          <w:tcPr>
            <w:tcW w:w="1841" w:type="dxa"/>
            <w:tcBorders>
              <w:top w:val="single" w:sz="4" w:space="0" w:color="auto"/>
              <w:left w:val="single" w:sz="8" w:space="0" w:color="auto"/>
              <w:bottom w:val="nil"/>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hulladék elhelyezés és ártalmatlanítás</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4 321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4 321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17</w:t>
            </w:r>
          </w:p>
        </w:tc>
        <w:tc>
          <w:tcPr>
            <w:tcW w:w="1841" w:type="dxa"/>
            <w:tcBorders>
              <w:top w:val="single" w:sz="4" w:space="0" w:color="auto"/>
              <w:left w:val="single" w:sz="8" w:space="0" w:color="auto"/>
              <w:bottom w:val="nil"/>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alvállalkozói teljesítések</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360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768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1 128    </w:t>
            </w:r>
          </w:p>
        </w:tc>
      </w:tr>
      <w:tr w:rsidR="008529C6" w:rsidRPr="008529C6" w:rsidTr="008529C6">
        <w:trPr>
          <w:trHeight w:val="276"/>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18</w:t>
            </w:r>
          </w:p>
        </w:tc>
        <w:tc>
          <w:tcPr>
            <w:tcW w:w="1841" w:type="dxa"/>
            <w:tcBorders>
              <w:top w:val="single" w:sz="4" w:space="0" w:color="auto"/>
              <w:left w:val="single" w:sz="8" w:space="0" w:color="auto"/>
              <w:bottom w:val="nil"/>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egyéb igénybe vett szolgáltatás</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76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218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37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368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17 287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1 710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146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18 865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10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10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343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219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210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39 594    </w:t>
            </w:r>
          </w:p>
        </w:tc>
      </w:tr>
      <w:tr w:rsidR="008529C6" w:rsidRPr="008529C6" w:rsidTr="008529C6">
        <w:trPr>
          <w:trHeight w:val="276"/>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19</w:t>
            </w:r>
          </w:p>
        </w:tc>
        <w:tc>
          <w:tcPr>
            <w:tcW w:w="1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Igénybevett </w:t>
            </w:r>
            <w:proofErr w:type="spellStart"/>
            <w:r w:rsidRPr="008529C6">
              <w:rPr>
                <w:rFonts w:ascii="Arial CE" w:hAnsi="Arial CE"/>
                <w:b/>
                <w:bCs/>
                <w:sz w:val="18"/>
                <w:szCs w:val="18"/>
              </w:rPr>
              <w:t>szolg.költségei</w:t>
            </w:r>
            <w:proofErr w:type="spellEnd"/>
            <w:r w:rsidRPr="008529C6">
              <w:rPr>
                <w:rFonts w:ascii="Arial CE" w:hAnsi="Arial CE"/>
                <w:b/>
                <w:bCs/>
                <w:sz w:val="18"/>
                <w:szCs w:val="18"/>
              </w:rPr>
              <w:t xml:space="preserve"> összesen</w:t>
            </w:r>
          </w:p>
        </w:tc>
        <w:tc>
          <w:tcPr>
            <w:tcW w:w="792"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1 094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369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358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1 528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20 697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8 859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378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21 248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90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561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122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78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243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5 979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11 537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1 144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267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74 555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20</w:t>
            </w:r>
          </w:p>
        </w:tc>
        <w:tc>
          <w:tcPr>
            <w:tcW w:w="1841" w:type="dxa"/>
            <w:tcBorders>
              <w:top w:val="nil"/>
              <w:left w:val="single" w:sz="8"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ELÁBÉ+ ELADOTT KÖZV</w:t>
            </w:r>
            <w:proofErr w:type="gramStart"/>
            <w:r w:rsidRPr="008529C6">
              <w:rPr>
                <w:rFonts w:ascii="Arial CE" w:hAnsi="Arial CE"/>
                <w:b/>
                <w:bCs/>
                <w:sz w:val="18"/>
                <w:szCs w:val="18"/>
              </w:rPr>
              <w:t>.SZOLG</w:t>
            </w:r>
            <w:proofErr w:type="gramEnd"/>
            <w:r w:rsidRPr="008529C6">
              <w:rPr>
                <w:rFonts w:ascii="Arial CE" w:hAnsi="Arial CE"/>
                <w:b/>
                <w:bCs/>
                <w:sz w:val="18"/>
                <w:szCs w:val="18"/>
              </w:rPr>
              <w:t>.</w:t>
            </w:r>
          </w:p>
        </w:tc>
        <w:tc>
          <w:tcPr>
            <w:tcW w:w="792"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361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62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3 579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406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413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2 540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657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1 771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62 736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3 107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75 632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21</w:t>
            </w:r>
          </w:p>
        </w:tc>
        <w:tc>
          <w:tcPr>
            <w:tcW w:w="1841" w:type="dxa"/>
            <w:tcBorders>
              <w:top w:val="nil"/>
              <w:left w:val="single" w:sz="8" w:space="0" w:color="auto"/>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hatósági díjak, illetékek</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118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2 886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395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28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42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3 580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22</w:t>
            </w:r>
          </w:p>
        </w:tc>
        <w:tc>
          <w:tcPr>
            <w:tcW w:w="1841" w:type="dxa"/>
            <w:tcBorders>
              <w:top w:val="nil"/>
              <w:left w:val="single" w:sz="8" w:space="0" w:color="auto"/>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biztosítási díjak</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227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685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85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12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99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1 266    </w:t>
            </w:r>
          </w:p>
        </w:tc>
      </w:tr>
      <w:tr w:rsidR="008529C6" w:rsidRPr="008529C6" w:rsidTr="008529C6">
        <w:trPr>
          <w:trHeight w:val="276"/>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23</w:t>
            </w:r>
          </w:p>
        </w:tc>
        <w:tc>
          <w:tcPr>
            <w:tcW w:w="1841" w:type="dxa"/>
            <w:tcBorders>
              <w:top w:val="nil"/>
              <w:left w:val="single" w:sz="8" w:space="0" w:color="auto"/>
              <w:bottom w:val="nil"/>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bank költség</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54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223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422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52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825    </w:t>
            </w:r>
          </w:p>
        </w:tc>
      </w:tr>
      <w:tr w:rsidR="008529C6" w:rsidRPr="008529C6" w:rsidTr="008529C6">
        <w:trPr>
          <w:trHeight w:val="276"/>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24</w:t>
            </w:r>
          </w:p>
        </w:tc>
        <w:tc>
          <w:tcPr>
            <w:tcW w:w="1841" w:type="dxa"/>
            <w:tcBorders>
              <w:top w:val="single" w:sz="8" w:space="0" w:color="auto"/>
              <w:left w:val="single" w:sz="8" w:space="0" w:color="auto"/>
              <w:bottom w:val="single" w:sz="8"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Egyéb szolgáltatások költségei összesen</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345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54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3 114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1 081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113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9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67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19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0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171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535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52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5 670    </w:t>
            </w:r>
          </w:p>
        </w:tc>
      </w:tr>
      <w:tr w:rsidR="008529C6" w:rsidRPr="008529C6" w:rsidTr="008529C6">
        <w:trPr>
          <w:trHeight w:val="276"/>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25</w:t>
            </w:r>
          </w:p>
        </w:tc>
        <w:tc>
          <w:tcPr>
            <w:tcW w:w="1841" w:type="dxa"/>
            <w:tcBorders>
              <w:top w:val="nil"/>
              <w:left w:val="single" w:sz="8" w:space="0" w:color="auto"/>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dolgozók bére</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2 802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527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7 409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27 826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33 816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2 493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10 900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3 035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18 896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1 737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931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2 856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82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2 647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2 823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10 655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5 553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6"/>
                <w:szCs w:val="16"/>
              </w:rPr>
            </w:pPr>
            <w:r w:rsidRPr="008529C6">
              <w:rPr>
                <w:rFonts w:ascii="Arial CE" w:hAnsi="Arial CE"/>
                <w:sz w:val="16"/>
                <w:szCs w:val="16"/>
              </w:rPr>
              <w:t xml:space="preserve">134988    </w:t>
            </w:r>
          </w:p>
        </w:tc>
      </w:tr>
      <w:tr w:rsidR="008529C6" w:rsidRPr="008529C6" w:rsidTr="008529C6">
        <w:trPr>
          <w:trHeight w:val="276"/>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26</w:t>
            </w:r>
          </w:p>
        </w:tc>
        <w:tc>
          <w:tcPr>
            <w:tcW w:w="1841" w:type="dxa"/>
            <w:tcBorders>
              <w:top w:val="single" w:sz="8" w:space="0" w:color="auto"/>
              <w:left w:val="single" w:sz="8" w:space="0" w:color="auto"/>
              <w:bottom w:val="single" w:sz="8"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Bérköltség</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2 802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527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7 409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27 826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33 816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2 493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10 900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3 035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18 896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1 737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931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2 856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82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2 647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2 823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10 655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5 553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b/>
                <w:bCs/>
                <w:sz w:val="16"/>
                <w:szCs w:val="16"/>
              </w:rPr>
            </w:pPr>
            <w:r w:rsidRPr="008529C6">
              <w:rPr>
                <w:rFonts w:ascii="Arial CE" w:hAnsi="Arial CE"/>
                <w:b/>
                <w:bCs/>
                <w:sz w:val="16"/>
                <w:szCs w:val="16"/>
              </w:rPr>
              <w:t xml:space="preserve">134988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27</w:t>
            </w:r>
          </w:p>
        </w:tc>
        <w:tc>
          <w:tcPr>
            <w:tcW w:w="1841" w:type="dxa"/>
            <w:tcBorders>
              <w:top w:val="nil"/>
              <w:left w:val="single" w:sz="8"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saját gépjármű használat</w:t>
            </w:r>
          </w:p>
        </w:tc>
        <w:tc>
          <w:tcPr>
            <w:tcW w:w="792"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95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351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172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636    </w:t>
            </w:r>
          </w:p>
        </w:tc>
      </w:tr>
      <w:tr w:rsidR="008529C6" w:rsidRPr="008529C6" w:rsidTr="008529C6">
        <w:trPr>
          <w:trHeight w:val="276"/>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28</w:t>
            </w:r>
          </w:p>
        </w:tc>
        <w:tc>
          <w:tcPr>
            <w:tcW w:w="1841" w:type="dxa"/>
            <w:tcBorders>
              <w:top w:val="nil"/>
              <w:left w:val="single" w:sz="8" w:space="0" w:color="auto"/>
              <w:bottom w:val="nil"/>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egyéb személyi jellegű ráfordítás</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41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32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564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1 087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12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18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848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83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14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2 818    </w:t>
            </w:r>
          </w:p>
        </w:tc>
      </w:tr>
      <w:tr w:rsidR="008529C6" w:rsidRPr="008529C6" w:rsidTr="008529C6">
        <w:trPr>
          <w:trHeight w:val="276"/>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29</w:t>
            </w:r>
          </w:p>
        </w:tc>
        <w:tc>
          <w:tcPr>
            <w:tcW w:w="1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Személyi jellegű egyéb kifizetések összesen</w:t>
            </w:r>
          </w:p>
        </w:tc>
        <w:tc>
          <w:tcPr>
            <w:tcW w:w="792"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50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40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564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1 183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12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387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18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848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83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0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205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14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3 454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30</w:t>
            </w:r>
          </w:p>
        </w:tc>
        <w:tc>
          <w:tcPr>
            <w:tcW w:w="1841" w:type="dxa"/>
            <w:tcBorders>
              <w:top w:val="nil"/>
              <w:left w:val="single" w:sz="8" w:space="0" w:color="auto"/>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szociális hozzájárulási adó</w:t>
            </w:r>
          </w:p>
        </w:tc>
        <w:tc>
          <w:tcPr>
            <w:tcW w:w="792"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469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90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1 147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4 474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5 140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357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1 914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329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2 290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251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147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423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15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486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374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1 290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985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20 182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31</w:t>
            </w:r>
          </w:p>
        </w:tc>
        <w:tc>
          <w:tcPr>
            <w:tcW w:w="1841" w:type="dxa"/>
            <w:tcBorders>
              <w:top w:val="nil"/>
              <w:left w:val="single" w:sz="8" w:space="0" w:color="auto"/>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egyszerűsített foglalkoztatás közterhe</w:t>
            </w:r>
          </w:p>
        </w:tc>
        <w:tc>
          <w:tcPr>
            <w:tcW w:w="792"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62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62    </w:t>
            </w:r>
          </w:p>
        </w:tc>
      </w:tr>
      <w:tr w:rsidR="008529C6" w:rsidRPr="008529C6" w:rsidTr="008529C6">
        <w:trPr>
          <w:trHeight w:val="276"/>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32</w:t>
            </w:r>
          </w:p>
        </w:tc>
        <w:tc>
          <w:tcPr>
            <w:tcW w:w="1841" w:type="dxa"/>
            <w:tcBorders>
              <w:top w:val="single" w:sz="4" w:space="0" w:color="auto"/>
              <w:left w:val="single" w:sz="8" w:space="0" w:color="auto"/>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szakképzési hozzájárulás</w:t>
            </w:r>
          </w:p>
        </w:tc>
        <w:tc>
          <w:tcPr>
            <w:tcW w:w="792"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41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107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379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505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37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160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44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266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46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111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83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1 905    </w:t>
            </w:r>
          </w:p>
        </w:tc>
      </w:tr>
      <w:tr w:rsidR="008529C6" w:rsidRPr="008529C6" w:rsidTr="008529C6">
        <w:trPr>
          <w:trHeight w:val="276"/>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33</w:t>
            </w:r>
          </w:p>
        </w:tc>
        <w:tc>
          <w:tcPr>
            <w:tcW w:w="1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Bérjárulékok összesen</w:t>
            </w:r>
          </w:p>
        </w:tc>
        <w:tc>
          <w:tcPr>
            <w:tcW w:w="792"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510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98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1 254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4 915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5 645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394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2 074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373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2 556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277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161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469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16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526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411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1 401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1 068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22 149    </w:t>
            </w:r>
          </w:p>
        </w:tc>
      </w:tr>
      <w:tr w:rsidR="008529C6" w:rsidRPr="008529C6" w:rsidTr="008529C6">
        <w:trPr>
          <w:trHeight w:val="276"/>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lastRenderedPageBreak/>
              <w:t>34</w:t>
            </w:r>
          </w:p>
        </w:tc>
        <w:tc>
          <w:tcPr>
            <w:tcW w:w="1841" w:type="dxa"/>
            <w:tcBorders>
              <w:top w:val="nil"/>
              <w:left w:val="single" w:sz="8" w:space="0" w:color="auto"/>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Értékcsökkenési leírás</w:t>
            </w:r>
          </w:p>
        </w:tc>
        <w:tc>
          <w:tcPr>
            <w:tcW w:w="792"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96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93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512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6 714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351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1 069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406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1 025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728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160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30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11 201    </w:t>
            </w:r>
          </w:p>
        </w:tc>
      </w:tr>
      <w:tr w:rsidR="008529C6" w:rsidRPr="008529C6" w:rsidTr="008529C6">
        <w:trPr>
          <w:trHeight w:val="276"/>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35</w:t>
            </w:r>
          </w:p>
        </w:tc>
        <w:tc>
          <w:tcPr>
            <w:tcW w:w="1841" w:type="dxa"/>
            <w:tcBorders>
              <w:top w:val="nil"/>
              <w:left w:val="single" w:sz="8" w:space="0" w:color="auto"/>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Közvetlen költségek összesen</w:t>
            </w:r>
          </w:p>
        </w:tc>
        <w:tc>
          <w:tcPr>
            <w:tcW w:w="792"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11 348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1 140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4 227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11 527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74 082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82 197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5 043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39 790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4 318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30 069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2 987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1 784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4 134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111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12 651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18 231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78 794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10 276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b/>
                <w:bCs/>
                <w:sz w:val="16"/>
                <w:szCs w:val="16"/>
              </w:rPr>
            </w:pPr>
            <w:r w:rsidRPr="008529C6">
              <w:rPr>
                <w:rFonts w:ascii="Arial CE" w:hAnsi="Arial CE"/>
                <w:b/>
                <w:bCs/>
                <w:sz w:val="18"/>
                <w:szCs w:val="18"/>
              </w:rPr>
              <w:t xml:space="preserve">          </w:t>
            </w:r>
            <w:r w:rsidRPr="008529C6">
              <w:rPr>
                <w:rFonts w:ascii="Arial CE" w:hAnsi="Arial CE"/>
                <w:b/>
                <w:bCs/>
                <w:sz w:val="16"/>
                <w:szCs w:val="16"/>
              </w:rPr>
              <w:t xml:space="preserve">392709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36</w:t>
            </w:r>
          </w:p>
        </w:tc>
        <w:tc>
          <w:tcPr>
            <w:tcW w:w="1841" w:type="dxa"/>
            <w:tcBorders>
              <w:top w:val="nil"/>
              <w:left w:val="single" w:sz="8"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ÁRBEVÉTEL</w:t>
            </w:r>
          </w:p>
        </w:tc>
        <w:tc>
          <w:tcPr>
            <w:tcW w:w="792"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14 707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227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12 175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11 975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31 314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105 347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6 895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104 646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5 403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27 849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3 404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2 310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6 299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200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19 713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9 059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83 257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7 053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6"/>
                <w:szCs w:val="16"/>
              </w:rPr>
            </w:pPr>
            <w:r w:rsidRPr="008529C6">
              <w:rPr>
                <w:rFonts w:ascii="Arial CE" w:hAnsi="Arial CE"/>
                <w:sz w:val="16"/>
                <w:szCs w:val="16"/>
              </w:rPr>
              <w:t xml:space="preserve">451834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37</w:t>
            </w:r>
          </w:p>
        </w:tc>
        <w:tc>
          <w:tcPr>
            <w:tcW w:w="1841" w:type="dxa"/>
            <w:tcBorders>
              <w:top w:val="nil"/>
              <w:left w:val="single" w:sz="8"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TEVÉKENYSÉGEK FEDEZETE</w:t>
            </w:r>
          </w:p>
        </w:tc>
        <w:tc>
          <w:tcPr>
            <w:tcW w:w="792"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3 359    </w:t>
            </w:r>
          </w:p>
        </w:tc>
        <w:tc>
          <w:tcPr>
            <w:tcW w:w="665"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913    </w:t>
            </w:r>
          </w:p>
        </w:tc>
        <w:tc>
          <w:tcPr>
            <w:tcW w:w="753"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7 949    </w:t>
            </w:r>
          </w:p>
        </w:tc>
        <w:tc>
          <w:tcPr>
            <w:tcW w:w="708"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448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-42768    </w:t>
            </w:r>
          </w:p>
        </w:tc>
        <w:tc>
          <w:tcPr>
            <w:tcW w:w="851"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23 151    </w:t>
            </w:r>
          </w:p>
        </w:tc>
        <w:tc>
          <w:tcPr>
            <w:tcW w:w="709"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1 852    </w:t>
            </w:r>
          </w:p>
        </w:tc>
        <w:tc>
          <w:tcPr>
            <w:tcW w:w="850"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64 856    </w:t>
            </w:r>
          </w:p>
        </w:tc>
        <w:tc>
          <w:tcPr>
            <w:tcW w:w="709"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1 085    </w:t>
            </w:r>
          </w:p>
        </w:tc>
        <w:tc>
          <w:tcPr>
            <w:tcW w:w="694"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-2 220    </w:t>
            </w:r>
          </w:p>
        </w:tc>
        <w:tc>
          <w:tcPr>
            <w:tcW w:w="709"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417    </w:t>
            </w:r>
          </w:p>
        </w:tc>
        <w:tc>
          <w:tcPr>
            <w:tcW w:w="709"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526    </w:t>
            </w:r>
          </w:p>
        </w:tc>
        <w:tc>
          <w:tcPr>
            <w:tcW w:w="709"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2 165    </w:t>
            </w:r>
          </w:p>
        </w:tc>
        <w:tc>
          <w:tcPr>
            <w:tcW w:w="567"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89    </w:t>
            </w:r>
          </w:p>
        </w:tc>
        <w:tc>
          <w:tcPr>
            <w:tcW w:w="708"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7 061    </w:t>
            </w:r>
          </w:p>
        </w:tc>
        <w:tc>
          <w:tcPr>
            <w:tcW w:w="709"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- 9 172    </w:t>
            </w:r>
          </w:p>
        </w:tc>
        <w:tc>
          <w:tcPr>
            <w:tcW w:w="709"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4 462    </w:t>
            </w:r>
          </w:p>
        </w:tc>
        <w:tc>
          <w:tcPr>
            <w:tcW w:w="709" w:type="dxa"/>
            <w:tcBorders>
              <w:top w:val="nil"/>
              <w:left w:val="nil"/>
              <w:bottom w:val="nil"/>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- 3 223    </w:t>
            </w:r>
          </w:p>
        </w:tc>
        <w:tc>
          <w:tcPr>
            <w:tcW w:w="693" w:type="dxa"/>
            <w:tcBorders>
              <w:top w:val="nil"/>
              <w:left w:val="nil"/>
              <w:bottom w:val="nil"/>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59 125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38</w:t>
            </w:r>
          </w:p>
        </w:tc>
        <w:tc>
          <w:tcPr>
            <w:tcW w:w="1841" w:type="dxa"/>
            <w:tcBorders>
              <w:top w:val="nil"/>
              <w:left w:val="single" w:sz="8" w:space="0" w:color="auto"/>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Gazdasági általános költségek</w:t>
            </w:r>
          </w:p>
        </w:tc>
        <w:tc>
          <w:tcPr>
            <w:tcW w:w="792" w:type="dxa"/>
            <w:tcBorders>
              <w:top w:val="single" w:sz="4" w:space="0" w:color="auto"/>
              <w:left w:val="single" w:sz="4" w:space="0" w:color="auto"/>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665"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53"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8"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nil"/>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w:t>
            </w:r>
          </w:p>
        </w:tc>
        <w:tc>
          <w:tcPr>
            <w:tcW w:w="851"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850"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694"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567"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8"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69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41 251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39</w:t>
            </w:r>
          </w:p>
        </w:tc>
        <w:tc>
          <w:tcPr>
            <w:tcW w:w="1841" w:type="dxa"/>
            <w:tcBorders>
              <w:top w:val="single" w:sz="4" w:space="0" w:color="auto"/>
              <w:left w:val="single" w:sz="8" w:space="0" w:color="auto"/>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Egyéb bevételek</w:t>
            </w:r>
          </w:p>
        </w:tc>
        <w:tc>
          <w:tcPr>
            <w:tcW w:w="792" w:type="dxa"/>
            <w:tcBorders>
              <w:top w:val="single" w:sz="4" w:space="0" w:color="auto"/>
              <w:left w:val="single" w:sz="4" w:space="0" w:color="auto"/>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665"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53"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8"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nil"/>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w:t>
            </w:r>
          </w:p>
        </w:tc>
        <w:tc>
          <w:tcPr>
            <w:tcW w:w="851"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850"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694"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567"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8"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693" w:type="dxa"/>
            <w:tcBorders>
              <w:top w:val="nil"/>
              <w:left w:val="single" w:sz="4" w:space="0" w:color="auto"/>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19 058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40</w:t>
            </w:r>
          </w:p>
        </w:tc>
        <w:tc>
          <w:tcPr>
            <w:tcW w:w="1841" w:type="dxa"/>
            <w:tcBorders>
              <w:top w:val="nil"/>
              <w:left w:val="single" w:sz="8" w:space="0" w:color="auto"/>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Egyéb ráfordítások</w:t>
            </w:r>
          </w:p>
        </w:tc>
        <w:tc>
          <w:tcPr>
            <w:tcW w:w="792" w:type="dxa"/>
            <w:tcBorders>
              <w:top w:val="nil"/>
              <w:left w:val="single" w:sz="4" w:space="0" w:color="auto"/>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665"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753"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708"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709" w:type="dxa"/>
            <w:tcBorders>
              <w:top w:val="nil"/>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w:t>
            </w:r>
          </w:p>
        </w:tc>
        <w:tc>
          <w:tcPr>
            <w:tcW w:w="851"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709"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850"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709"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694"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709"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709"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709"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567"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708"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709"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709"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709" w:type="dxa"/>
            <w:tcBorders>
              <w:top w:val="nil"/>
              <w:left w:val="nil"/>
              <w:bottom w:val="nil"/>
              <w:right w:val="nil"/>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p>
        </w:tc>
        <w:tc>
          <w:tcPr>
            <w:tcW w:w="693" w:type="dxa"/>
            <w:tcBorders>
              <w:top w:val="nil"/>
              <w:left w:val="single" w:sz="4" w:space="0" w:color="auto"/>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20 050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41</w:t>
            </w:r>
          </w:p>
        </w:tc>
        <w:tc>
          <w:tcPr>
            <w:tcW w:w="1841" w:type="dxa"/>
            <w:tcBorders>
              <w:top w:val="nil"/>
              <w:left w:val="single" w:sz="8" w:space="0" w:color="auto"/>
              <w:bottom w:val="nil"/>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ÜZEMI (ÜZLETI) TEVÉKENYSÉG EREDMÉNYE</w:t>
            </w:r>
          </w:p>
        </w:tc>
        <w:tc>
          <w:tcPr>
            <w:tcW w:w="792" w:type="dxa"/>
            <w:tcBorders>
              <w:top w:val="single" w:sz="4" w:space="0" w:color="auto"/>
              <w:left w:val="single" w:sz="4" w:space="0" w:color="auto"/>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665"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53"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8"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nil"/>
              <w:left w:val="nil"/>
              <w:bottom w:val="single" w:sz="4" w:space="0" w:color="auto"/>
              <w:right w:val="nil"/>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w:t>
            </w:r>
          </w:p>
        </w:tc>
        <w:tc>
          <w:tcPr>
            <w:tcW w:w="851"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850"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694"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567"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8"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709" w:type="dxa"/>
            <w:tcBorders>
              <w:top w:val="single" w:sz="4" w:space="0" w:color="auto"/>
              <w:left w:val="nil"/>
              <w:bottom w:val="single" w:sz="4" w:space="0" w:color="auto"/>
              <w:right w:val="nil"/>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w:t>
            </w:r>
          </w:p>
        </w:tc>
        <w:tc>
          <w:tcPr>
            <w:tcW w:w="693" w:type="dxa"/>
            <w:tcBorders>
              <w:top w:val="nil"/>
              <w:left w:val="single" w:sz="4" w:space="0" w:color="auto"/>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b/>
                <w:bCs/>
                <w:sz w:val="18"/>
                <w:szCs w:val="18"/>
              </w:rPr>
            </w:pPr>
            <w:r w:rsidRPr="008529C6">
              <w:rPr>
                <w:rFonts w:ascii="Arial CE" w:hAnsi="Arial CE"/>
                <w:b/>
                <w:bCs/>
                <w:sz w:val="18"/>
                <w:szCs w:val="18"/>
              </w:rPr>
              <w:t xml:space="preserve">            16 883    </w:t>
            </w:r>
          </w:p>
        </w:tc>
      </w:tr>
      <w:tr w:rsidR="008529C6" w:rsidRPr="008529C6" w:rsidTr="008529C6">
        <w:trPr>
          <w:trHeight w:val="264"/>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42</w:t>
            </w:r>
          </w:p>
        </w:tc>
        <w:tc>
          <w:tcPr>
            <w:tcW w:w="18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proofErr w:type="spellStart"/>
            <w:r w:rsidRPr="008529C6">
              <w:rPr>
                <w:rFonts w:ascii="Arial CE" w:hAnsi="Arial CE"/>
                <w:b/>
                <w:bCs/>
                <w:sz w:val="18"/>
                <w:szCs w:val="18"/>
              </w:rPr>
              <w:t>Tm</w:t>
            </w:r>
            <w:proofErr w:type="gramStart"/>
            <w:r w:rsidRPr="008529C6">
              <w:rPr>
                <w:rFonts w:ascii="Arial CE" w:hAnsi="Arial CE"/>
                <w:b/>
                <w:bCs/>
                <w:sz w:val="18"/>
                <w:szCs w:val="18"/>
              </w:rPr>
              <w:t>.Önk</w:t>
            </w:r>
            <w:proofErr w:type="spellEnd"/>
            <w:proofErr w:type="gramEnd"/>
            <w:r w:rsidRPr="008529C6">
              <w:rPr>
                <w:rFonts w:ascii="Arial CE" w:hAnsi="Arial CE"/>
                <w:b/>
                <w:bCs/>
                <w:sz w:val="18"/>
                <w:szCs w:val="18"/>
              </w:rPr>
              <w:t>. szerződések telj. nettó értéke</w:t>
            </w:r>
          </w:p>
        </w:tc>
        <w:tc>
          <w:tcPr>
            <w:tcW w:w="792"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14 186    </w:t>
            </w:r>
          </w:p>
        </w:tc>
        <w:tc>
          <w:tcPr>
            <w:tcW w:w="665"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53"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4 489    </w:t>
            </w:r>
          </w:p>
        </w:tc>
        <w:tc>
          <w:tcPr>
            <w:tcW w:w="694"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27 559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3 404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2 310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6 299    </w:t>
            </w:r>
          </w:p>
        </w:tc>
        <w:tc>
          <w:tcPr>
            <w:tcW w:w="567"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200    </w:t>
            </w:r>
          </w:p>
        </w:tc>
        <w:tc>
          <w:tcPr>
            <w:tcW w:w="708"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741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4 560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3" w:type="dxa"/>
            <w:tcBorders>
              <w:top w:val="nil"/>
              <w:left w:val="nil"/>
              <w:bottom w:val="single" w:sz="4"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63 748    </w:t>
            </w:r>
          </w:p>
        </w:tc>
      </w:tr>
      <w:tr w:rsidR="008529C6" w:rsidRPr="008529C6" w:rsidTr="008529C6">
        <w:trPr>
          <w:trHeight w:val="276"/>
        </w:trPr>
        <w:tc>
          <w:tcPr>
            <w:tcW w:w="359" w:type="dxa"/>
            <w:tcBorders>
              <w:top w:val="nil"/>
              <w:left w:val="nil"/>
              <w:bottom w:val="nil"/>
              <w:right w:val="nil"/>
            </w:tcBorders>
            <w:shd w:val="clear" w:color="auto" w:fill="auto"/>
            <w:noWrap/>
            <w:vAlign w:val="bottom"/>
            <w:hideMark/>
          </w:tcPr>
          <w:p w:rsidR="008529C6" w:rsidRPr="008529C6" w:rsidRDefault="008529C6" w:rsidP="008529C6">
            <w:pPr>
              <w:suppressAutoHyphens w:val="0"/>
              <w:jc w:val="center"/>
              <w:rPr>
                <w:rFonts w:ascii="Arial CE" w:hAnsi="Arial CE"/>
                <w:sz w:val="18"/>
                <w:szCs w:val="18"/>
              </w:rPr>
            </w:pPr>
            <w:r w:rsidRPr="008529C6">
              <w:rPr>
                <w:rFonts w:ascii="Arial CE" w:hAnsi="Arial CE"/>
                <w:sz w:val="18"/>
                <w:szCs w:val="18"/>
              </w:rPr>
              <w:t>43</w:t>
            </w:r>
          </w:p>
        </w:tc>
        <w:tc>
          <w:tcPr>
            <w:tcW w:w="1841" w:type="dxa"/>
            <w:tcBorders>
              <w:top w:val="nil"/>
              <w:left w:val="single" w:sz="8" w:space="0" w:color="auto"/>
              <w:bottom w:val="single" w:sz="8" w:space="0" w:color="auto"/>
              <w:right w:val="single" w:sz="4" w:space="0" w:color="auto"/>
            </w:tcBorders>
            <w:shd w:val="clear" w:color="auto" w:fill="auto"/>
            <w:noWrap/>
            <w:vAlign w:val="bottom"/>
            <w:hideMark/>
          </w:tcPr>
          <w:p w:rsidR="008529C6" w:rsidRPr="008529C6" w:rsidRDefault="008529C6" w:rsidP="008529C6">
            <w:pPr>
              <w:suppressAutoHyphens w:val="0"/>
              <w:rPr>
                <w:rFonts w:ascii="Arial CE" w:hAnsi="Arial CE"/>
                <w:b/>
                <w:bCs/>
                <w:sz w:val="18"/>
                <w:szCs w:val="18"/>
              </w:rPr>
            </w:pPr>
            <w:proofErr w:type="spellStart"/>
            <w:r w:rsidRPr="008529C6">
              <w:rPr>
                <w:rFonts w:ascii="Arial CE" w:hAnsi="Arial CE"/>
                <w:b/>
                <w:bCs/>
                <w:sz w:val="18"/>
                <w:szCs w:val="18"/>
              </w:rPr>
              <w:t>Tm</w:t>
            </w:r>
            <w:proofErr w:type="gramStart"/>
            <w:r w:rsidRPr="008529C6">
              <w:rPr>
                <w:rFonts w:ascii="Arial CE" w:hAnsi="Arial CE"/>
                <w:b/>
                <w:bCs/>
                <w:sz w:val="18"/>
                <w:szCs w:val="18"/>
              </w:rPr>
              <w:t>.Önk</w:t>
            </w:r>
            <w:proofErr w:type="spellEnd"/>
            <w:proofErr w:type="gramEnd"/>
            <w:r w:rsidRPr="008529C6">
              <w:rPr>
                <w:rFonts w:ascii="Arial CE" w:hAnsi="Arial CE"/>
                <w:b/>
                <w:bCs/>
                <w:sz w:val="18"/>
                <w:szCs w:val="18"/>
              </w:rPr>
              <w:t>. Szerződések telj.  bruttó értéke</w:t>
            </w:r>
          </w:p>
        </w:tc>
        <w:tc>
          <w:tcPr>
            <w:tcW w:w="792"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18 016    </w:t>
            </w:r>
          </w:p>
        </w:tc>
        <w:tc>
          <w:tcPr>
            <w:tcW w:w="665"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53"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8"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1"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850"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5 700    </w:t>
            </w:r>
          </w:p>
        </w:tc>
        <w:tc>
          <w:tcPr>
            <w:tcW w:w="694"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35 000    </w:t>
            </w:r>
          </w:p>
        </w:tc>
        <w:tc>
          <w:tcPr>
            <w:tcW w:w="709"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4 324    </w:t>
            </w:r>
          </w:p>
        </w:tc>
        <w:tc>
          <w:tcPr>
            <w:tcW w:w="709"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2 934    </w:t>
            </w:r>
          </w:p>
        </w:tc>
        <w:tc>
          <w:tcPr>
            <w:tcW w:w="709"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8 000    </w:t>
            </w:r>
          </w:p>
        </w:tc>
        <w:tc>
          <w:tcPr>
            <w:tcW w:w="567"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254    </w:t>
            </w:r>
          </w:p>
        </w:tc>
        <w:tc>
          <w:tcPr>
            <w:tcW w:w="708"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941    </w:t>
            </w:r>
          </w:p>
        </w:tc>
        <w:tc>
          <w:tcPr>
            <w:tcW w:w="709"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5 791    </w:t>
            </w:r>
          </w:p>
        </w:tc>
        <w:tc>
          <w:tcPr>
            <w:tcW w:w="709"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709" w:type="dxa"/>
            <w:tcBorders>
              <w:top w:val="nil"/>
              <w:left w:val="nil"/>
              <w:bottom w:val="single" w:sz="8" w:space="0" w:color="auto"/>
              <w:right w:val="single" w:sz="4"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    </w:t>
            </w:r>
          </w:p>
        </w:tc>
        <w:tc>
          <w:tcPr>
            <w:tcW w:w="693" w:type="dxa"/>
            <w:tcBorders>
              <w:top w:val="nil"/>
              <w:left w:val="nil"/>
              <w:bottom w:val="single" w:sz="8" w:space="0" w:color="auto"/>
              <w:right w:val="single" w:sz="8" w:space="0" w:color="auto"/>
            </w:tcBorders>
            <w:shd w:val="clear" w:color="auto" w:fill="auto"/>
            <w:noWrap/>
            <w:vAlign w:val="center"/>
            <w:hideMark/>
          </w:tcPr>
          <w:p w:rsidR="008529C6" w:rsidRPr="008529C6" w:rsidRDefault="008529C6" w:rsidP="008529C6">
            <w:pPr>
              <w:suppressAutoHyphens w:val="0"/>
              <w:rPr>
                <w:rFonts w:ascii="Arial CE" w:hAnsi="Arial CE"/>
                <w:sz w:val="18"/>
                <w:szCs w:val="18"/>
              </w:rPr>
            </w:pPr>
            <w:r w:rsidRPr="008529C6">
              <w:rPr>
                <w:rFonts w:ascii="Arial CE" w:hAnsi="Arial CE"/>
                <w:sz w:val="18"/>
                <w:szCs w:val="18"/>
              </w:rPr>
              <w:t xml:space="preserve">            80 960    </w:t>
            </w:r>
          </w:p>
        </w:tc>
      </w:tr>
    </w:tbl>
    <w:p w:rsidR="008529C6" w:rsidRPr="008529C6" w:rsidRDefault="008529C6" w:rsidP="008529C6">
      <w:pPr>
        <w:suppressAutoHyphens w:val="0"/>
        <w:spacing w:after="200" w:line="276" w:lineRule="auto"/>
        <w:rPr>
          <w:rFonts w:eastAsiaTheme="minorHAnsi"/>
          <w:sz w:val="22"/>
          <w:szCs w:val="22"/>
          <w:lang w:eastAsia="en-US"/>
        </w:rPr>
      </w:pPr>
    </w:p>
    <w:p w:rsidR="000A69B3" w:rsidRPr="008529C6" w:rsidRDefault="000A69B3"/>
    <w:sectPr w:rsidR="000A69B3" w:rsidRPr="008529C6" w:rsidSect="008529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C6" w:rsidRDefault="008529C6">
    <w:pPr>
      <w:pStyle w:val="lfej"/>
      <w:framePr w:wrap="around" w:vAnchor="text" w:hAnchor="margin" w:xAlign="center" w:y="1"/>
      <w:rPr>
        <w:rStyle w:val="Oldalszm"/>
      </w:rPr>
    </w:pPr>
    <w:r>
      <w:rPr>
        <w:rStyle w:val="Oldalszm"/>
      </w:rPr>
      <w:fldChar w:fldCharType="begin"/>
    </w:r>
    <w:r>
      <w:rPr>
        <w:rStyle w:val="Oldalszm"/>
      </w:rPr>
      <w:instrText xml:space="preserve">PAGE  </w:instrText>
    </w:r>
    <w:r w:rsidR="00AE0682">
      <w:rPr>
        <w:rStyle w:val="Oldalszm"/>
      </w:rPr>
      <w:fldChar w:fldCharType="separate"/>
    </w:r>
    <w:r w:rsidR="00AE0682">
      <w:rPr>
        <w:rStyle w:val="Oldalszm"/>
        <w:noProof/>
      </w:rPr>
      <w:t>14</w:t>
    </w:r>
    <w:r>
      <w:rPr>
        <w:rStyle w:val="Oldalszm"/>
      </w:rPr>
      <w:fldChar w:fldCharType="end"/>
    </w:r>
  </w:p>
  <w:p w:rsidR="008529C6" w:rsidRDefault="008529C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C6" w:rsidRDefault="008529C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E0682">
      <w:rPr>
        <w:rStyle w:val="Oldalszm"/>
        <w:noProof/>
      </w:rPr>
      <w:t>9</w:t>
    </w:r>
    <w:r>
      <w:rPr>
        <w:rStyle w:val="Oldalszm"/>
      </w:rPr>
      <w:fldChar w:fldCharType="end"/>
    </w:r>
  </w:p>
  <w:p w:rsidR="008529C6" w:rsidRDefault="008529C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0B46"/>
    <w:multiLevelType w:val="hybridMultilevel"/>
    <w:tmpl w:val="2EC0C27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12F91663"/>
    <w:multiLevelType w:val="hybridMultilevel"/>
    <w:tmpl w:val="B82E462C"/>
    <w:lvl w:ilvl="0" w:tplc="8BDAC5C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3A54DD8"/>
    <w:multiLevelType w:val="multilevel"/>
    <w:tmpl w:val="4A842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905A55"/>
    <w:multiLevelType w:val="hybridMultilevel"/>
    <w:tmpl w:val="91668728"/>
    <w:lvl w:ilvl="0" w:tplc="8BDAC5C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76F66A6"/>
    <w:multiLevelType w:val="hybridMultilevel"/>
    <w:tmpl w:val="1B1456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E8418D4"/>
    <w:multiLevelType w:val="hybridMultilevel"/>
    <w:tmpl w:val="924019A2"/>
    <w:lvl w:ilvl="0" w:tplc="D0EED18C">
      <w:start w:val="2019"/>
      <w:numFmt w:val="bullet"/>
      <w:lvlText w:val="-"/>
      <w:lvlJc w:val="left"/>
      <w:pPr>
        <w:ind w:left="1774" w:hanging="360"/>
      </w:pPr>
      <w:rPr>
        <w:rFonts w:ascii="Times New Roman" w:eastAsia="Times New Roman" w:hAnsi="Times New Roman" w:cs="Times New Roman" w:hint="default"/>
      </w:rPr>
    </w:lvl>
    <w:lvl w:ilvl="1" w:tplc="040E0003" w:tentative="1">
      <w:start w:val="1"/>
      <w:numFmt w:val="bullet"/>
      <w:lvlText w:val="o"/>
      <w:lvlJc w:val="left"/>
      <w:pPr>
        <w:ind w:left="2494" w:hanging="360"/>
      </w:pPr>
      <w:rPr>
        <w:rFonts w:ascii="Courier New" w:hAnsi="Courier New" w:cs="Courier New" w:hint="default"/>
      </w:rPr>
    </w:lvl>
    <w:lvl w:ilvl="2" w:tplc="040E0005" w:tentative="1">
      <w:start w:val="1"/>
      <w:numFmt w:val="bullet"/>
      <w:lvlText w:val=""/>
      <w:lvlJc w:val="left"/>
      <w:pPr>
        <w:ind w:left="3214" w:hanging="360"/>
      </w:pPr>
      <w:rPr>
        <w:rFonts w:ascii="Wingdings" w:hAnsi="Wingdings" w:hint="default"/>
      </w:rPr>
    </w:lvl>
    <w:lvl w:ilvl="3" w:tplc="040E0001" w:tentative="1">
      <w:start w:val="1"/>
      <w:numFmt w:val="bullet"/>
      <w:lvlText w:val=""/>
      <w:lvlJc w:val="left"/>
      <w:pPr>
        <w:ind w:left="3934" w:hanging="360"/>
      </w:pPr>
      <w:rPr>
        <w:rFonts w:ascii="Symbol" w:hAnsi="Symbol" w:hint="default"/>
      </w:rPr>
    </w:lvl>
    <w:lvl w:ilvl="4" w:tplc="040E0003" w:tentative="1">
      <w:start w:val="1"/>
      <w:numFmt w:val="bullet"/>
      <w:lvlText w:val="o"/>
      <w:lvlJc w:val="left"/>
      <w:pPr>
        <w:ind w:left="4654" w:hanging="360"/>
      </w:pPr>
      <w:rPr>
        <w:rFonts w:ascii="Courier New" w:hAnsi="Courier New" w:cs="Courier New" w:hint="default"/>
      </w:rPr>
    </w:lvl>
    <w:lvl w:ilvl="5" w:tplc="040E0005" w:tentative="1">
      <w:start w:val="1"/>
      <w:numFmt w:val="bullet"/>
      <w:lvlText w:val=""/>
      <w:lvlJc w:val="left"/>
      <w:pPr>
        <w:ind w:left="5374" w:hanging="360"/>
      </w:pPr>
      <w:rPr>
        <w:rFonts w:ascii="Wingdings" w:hAnsi="Wingdings" w:hint="default"/>
      </w:rPr>
    </w:lvl>
    <w:lvl w:ilvl="6" w:tplc="040E0001" w:tentative="1">
      <w:start w:val="1"/>
      <w:numFmt w:val="bullet"/>
      <w:lvlText w:val=""/>
      <w:lvlJc w:val="left"/>
      <w:pPr>
        <w:ind w:left="6094" w:hanging="360"/>
      </w:pPr>
      <w:rPr>
        <w:rFonts w:ascii="Symbol" w:hAnsi="Symbol" w:hint="default"/>
      </w:rPr>
    </w:lvl>
    <w:lvl w:ilvl="7" w:tplc="040E0003" w:tentative="1">
      <w:start w:val="1"/>
      <w:numFmt w:val="bullet"/>
      <w:lvlText w:val="o"/>
      <w:lvlJc w:val="left"/>
      <w:pPr>
        <w:ind w:left="6814" w:hanging="360"/>
      </w:pPr>
      <w:rPr>
        <w:rFonts w:ascii="Courier New" w:hAnsi="Courier New" w:cs="Courier New" w:hint="default"/>
      </w:rPr>
    </w:lvl>
    <w:lvl w:ilvl="8" w:tplc="040E0005" w:tentative="1">
      <w:start w:val="1"/>
      <w:numFmt w:val="bullet"/>
      <w:lvlText w:val=""/>
      <w:lvlJc w:val="left"/>
      <w:pPr>
        <w:ind w:left="7534" w:hanging="360"/>
      </w:pPr>
      <w:rPr>
        <w:rFonts w:ascii="Wingdings" w:hAnsi="Wingdings" w:hint="default"/>
      </w:rPr>
    </w:lvl>
  </w:abstractNum>
  <w:abstractNum w:abstractNumId="6">
    <w:nsid w:val="7C3E38D8"/>
    <w:multiLevelType w:val="hybridMultilevel"/>
    <w:tmpl w:val="E85CBC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7E3330E5"/>
    <w:multiLevelType w:val="hybridMultilevel"/>
    <w:tmpl w:val="1A56A6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C6"/>
    <w:rsid w:val="000A69B3"/>
    <w:rsid w:val="008529C6"/>
    <w:rsid w:val="00AE06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29C6"/>
    <w:pPr>
      <w:suppressAutoHyphens/>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semiHidden/>
    <w:rsid w:val="008529C6"/>
    <w:pPr>
      <w:tabs>
        <w:tab w:val="center" w:pos="4536"/>
        <w:tab w:val="right" w:pos="9072"/>
      </w:tabs>
      <w:suppressAutoHyphens w:val="0"/>
    </w:pPr>
    <w:rPr>
      <w:szCs w:val="24"/>
    </w:rPr>
  </w:style>
  <w:style w:type="character" w:customStyle="1" w:styleId="lfejChar">
    <w:name w:val="Élőfej Char"/>
    <w:basedOn w:val="Bekezdsalapbettpusa"/>
    <w:link w:val="lfej"/>
    <w:semiHidden/>
    <w:rsid w:val="008529C6"/>
    <w:rPr>
      <w:rFonts w:ascii="Times New Roman" w:eastAsia="Times New Roman" w:hAnsi="Times New Roman" w:cs="Times New Roman"/>
      <w:sz w:val="24"/>
      <w:szCs w:val="24"/>
      <w:lang w:eastAsia="hu-HU"/>
    </w:rPr>
  </w:style>
  <w:style w:type="character" w:styleId="Oldalszm">
    <w:name w:val="page number"/>
    <w:basedOn w:val="Bekezdsalapbettpusa"/>
    <w:semiHidden/>
    <w:rsid w:val="008529C6"/>
  </w:style>
  <w:style w:type="numbering" w:customStyle="1" w:styleId="Nemlista1">
    <w:name w:val="Nem lista1"/>
    <w:next w:val="Nemlista"/>
    <w:uiPriority w:val="99"/>
    <w:semiHidden/>
    <w:unhideWhenUsed/>
    <w:rsid w:val="008529C6"/>
  </w:style>
  <w:style w:type="numbering" w:customStyle="1" w:styleId="Nemlista11">
    <w:name w:val="Nem lista11"/>
    <w:next w:val="Nemlista"/>
    <w:uiPriority w:val="99"/>
    <w:semiHidden/>
    <w:unhideWhenUsed/>
    <w:rsid w:val="008529C6"/>
  </w:style>
  <w:style w:type="character" w:styleId="Hiperhivatkozs">
    <w:name w:val="Hyperlink"/>
    <w:basedOn w:val="Bekezdsalapbettpusa"/>
    <w:uiPriority w:val="99"/>
    <w:semiHidden/>
    <w:unhideWhenUsed/>
    <w:rsid w:val="008529C6"/>
    <w:rPr>
      <w:color w:val="0563C1"/>
      <w:u w:val="single"/>
    </w:rPr>
  </w:style>
  <w:style w:type="character" w:styleId="Mrltotthiperhivatkozs">
    <w:name w:val="FollowedHyperlink"/>
    <w:basedOn w:val="Bekezdsalapbettpusa"/>
    <w:uiPriority w:val="99"/>
    <w:semiHidden/>
    <w:unhideWhenUsed/>
    <w:rsid w:val="008529C6"/>
    <w:rPr>
      <w:color w:val="954F72"/>
      <w:u w:val="single"/>
    </w:rPr>
  </w:style>
  <w:style w:type="paragraph" w:customStyle="1" w:styleId="xl65">
    <w:name w:val="xl65"/>
    <w:basedOn w:val="Norml"/>
    <w:rsid w:val="008529C6"/>
    <w:pPr>
      <w:suppressAutoHyphens w:val="0"/>
      <w:spacing w:before="100" w:beforeAutospacing="1" w:after="100" w:afterAutospacing="1"/>
      <w:jc w:val="right"/>
    </w:pPr>
    <w:rPr>
      <w:szCs w:val="24"/>
    </w:rPr>
  </w:style>
  <w:style w:type="paragraph" w:customStyle="1" w:styleId="xl66">
    <w:name w:val="xl66"/>
    <w:basedOn w:val="Norml"/>
    <w:rsid w:val="008529C6"/>
    <w:pPr>
      <w:suppressAutoHyphens w:val="0"/>
      <w:spacing w:before="100" w:beforeAutospacing="1" w:after="100" w:afterAutospacing="1"/>
      <w:jc w:val="center"/>
    </w:pPr>
    <w:rPr>
      <w:szCs w:val="24"/>
    </w:rPr>
  </w:style>
  <w:style w:type="paragraph" w:customStyle="1" w:styleId="xl67">
    <w:name w:val="xl67"/>
    <w:basedOn w:val="Norml"/>
    <w:rsid w:val="008529C6"/>
    <w:pPr>
      <w:suppressAutoHyphens w:val="0"/>
      <w:spacing w:before="100" w:beforeAutospacing="1" w:after="100" w:afterAutospacing="1"/>
      <w:jc w:val="center"/>
      <w:textAlignment w:val="center"/>
    </w:pPr>
    <w:rPr>
      <w:rFonts w:ascii="Arial CE" w:hAnsi="Arial CE"/>
      <w:b/>
      <w:bCs/>
      <w:szCs w:val="24"/>
    </w:rPr>
  </w:style>
  <w:style w:type="paragraph" w:customStyle="1" w:styleId="xl68">
    <w:name w:val="xl68"/>
    <w:basedOn w:val="Norml"/>
    <w:rsid w:val="008529C6"/>
    <w:pPr>
      <w:pBdr>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69">
    <w:name w:val="xl69"/>
    <w:basedOn w:val="Norml"/>
    <w:rsid w:val="008529C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70">
    <w:name w:val="xl70"/>
    <w:basedOn w:val="Norml"/>
    <w:rsid w:val="008529C6"/>
    <w:pPr>
      <w:pBdr>
        <w:bottom w:val="single" w:sz="4" w:space="0" w:color="auto"/>
        <w:right w:val="single" w:sz="8" w:space="0" w:color="auto"/>
      </w:pBdr>
      <w:suppressAutoHyphens w:val="0"/>
      <w:spacing w:before="100" w:beforeAutospacing="1" w:after="100" w:afterAutospacing="1"/>
      <w:textAlignment w:val="center"/>
    </w:pPr>
    <w:rPr>
      <w:rFonts w:ascii="Arial CE" w:hAnsi="Arial CE"/>
      <w:sz w:val="18"/>
      <w:szCs w:val="18"/>
    </w:rPr>
  </w:style>
  <w:style w:type="paragraph" w:customStyle="1" w:styleId="xl71">
    <w:name w:val="xl71"/>
    <w:basedOn w:val="Norml"/>
    <w:rsid w:val="008529C6"/>
    <w:pPr>
      <w:pBdr>
        <w:top w:val="single" w:sz="4" w:space="0" w:color="auto"/>
        <w:left w:val="single" w:sz="8" w:space="0" w:color="auto"/>
        <w:bottom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72">
    <w:name w:val="xl72"/>
    <w:basedOn w:val="Norml"/>
    <w:rsid w:val="008529C6"/>
    <w:pPr>
      <w:pBdr>
        <w:top w:val="single" w:sz="4" w:space="0" w:color="auto"/>
        <w:left w:val="single" w:sz="8" w:space="0" w:color="auto"/>
      </w:pBdr>
      <w:suppressAutoHyphens w:val="0"/>
      <w:spacing w:before="100" w:beforeAutospacing="1" w:after="100" w:afterAutospacing="1"/>
      <w:textAlignment w:val="center"/>
    </w:pPr>
    <w:rPr>
      <w:rFonts w:ascii="Arial CE" w:hAnsi="Arial CE"/>
      <w:sz w:val="16"/>
      <w:szCs w:val="16"/>
    </w:rPr>
  </w:style>
  <w:style w:type="paragraph" w:customStyle="1" w:styleId="xl73">
    <w:name w:val="xl73"/>
    <w:basedOn w:val="Norml"/>
    <w:rsid w:val="008529C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74">
    <w:name w:val="xl74"/>
    <w:basedOn w:val="Norml"/>
    <w:rsid w:val="008529C6"/>
    <w:pPr>
      <w:pBdr>
        <w:bottom w:val="single" w:sz="4" w:space="0" w:color="auto"/>
        <w:right w:val="single" w:sz="8" w:space="0" w:color="auto"/>
      </w:pBdr>
      <w:suppressAutoHyphens w:val="0"/>
      <w:spacing w:before="100" w:beforeAutospacing="1" w:after="100" w:afterAutospacing="1"/>
      <w:textAlignment w:val="center"/>
    </w:pPr>
    <w:rPr>
      <w:rFonts w:ascii="Arial CE" w:hAnsi="Arial CE"/>
      <w:b/>
      <w:bCs/>
      <w:sz w:val="18"/>
      <w:szCs w:val="18"/>
    </w:rPr>
  </w:style>
  <w:style w:type="paragraph" w:customStyle="1" w:styleId="xl75">
    <w:name w:val="xl75"/>
    <w:basedOn w:val="Norml"/>
    <w:rsid w:val="008529C6"/>
    <w:pPr>
      <w:pBdr>
        <w:left w:val="single" w:sz="8" w:space="0" w:color="auto"/>
        <w:bottom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76">
    <w:name w:val="xl76"/>
    <w:basedOn w:val="Norml"/>
    <w:rsid w:val="008529C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77">
    <w:name w:val="xl77"/>
    <w:basedOn w:val="Norml"/>
    <w:rsid w:val="008529C6"/>
    <w:pPr>
      <w:pBdr>
        <w:left w:val="single" w:sz="8" w:space="0" w:color="auto"/>
      </w:pBdr>
      <w:suppressAutoHyphens w:val="0"/>
      <w:spacing w:before="100" w:beforeAutospacing="1" w:after="100" w:afterAutospacing="1"/>
      <w:textAlignment w:val="center"/>
    </w:pPr>
    <w:rPr>
      <w:rFonts w:ascii="Arial CE" w:hAnsi="Arial CE"/>
      <w:sz w:val="16"/>
      <w:szCs w:val="16"/>
    </w:rPr>
  </w:style>
  <w:style w:type="paragraph" w:customStyle="1" w:styleId="xl78">
    <w:name w:val="xl78"/>
    <w:basedOn w:val="Norml"/>
    <w:rsid w:val="008529C6"/>
    <w:pPr>
      <w:pBdr>
        <w:top w:val="single" w:sz="4" w:space="0" w:color="auto"/>
        <w:left w:val="single" w:sz="8" w:space="0" w:color="auto"/>
        <w:right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79">
    <w:name w:val="xl79"/>
    <w:basedOn w:val="Norml"/>
    <w:rsid w:val="008529C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0">
    <w:name w:val="xl80"/>
    <w:basedOn w:val="Norml"/>
    <w:rsid w:val="008529C6"/>
    <w:pPr>
      <w:pBdr>
        <w:left w:val="single" w:sz="8" w:space="0" w:color="auto"/>
        <w:bottom w:val="single" w:sz="8" w:space="0" w:color="auto"/>
        <w:right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1">
    <w:name w:val="xl81"/>
    <w:basedOn w:val="Norml"/>
    <w:rsid w:val="008529C6"/>
    <w:pPr>
      <w:pBdr>
        <w:left w:val="single" w:sz="8" w:space="0" w:color="auto"/>
        <w:bottom w:val="single" w:sz="4" w:space="0" w:color="auto"/>
        <w:right w:val="single" w:sz="4" w:space="0" w:color="auto"/>
      </w:pBdr>
      <w:suppressAutoHyphens w:val="0"/>
      <w:spacing w:before="100" w:beforeAutospacing="1" w:after="100" w:afterAutospacing="1"/>
    </w:pPr>
    <w:rPr>
      <w:rFonts w:ascii="Arial CE" w:hAnsi="Arial CE"/>
      <w:b/>
      <w:bCs/>
      <w:sz w:val="16"/>
      <w:szCs w:val="16"/>
    </w:rPr>
  </w:style>
  <w:style w:type="paragraph" w:customStyle="1" w:styleId="xl82">
    <w:name w:val="xl82"/>
    <w:basedOn w:val="Norml"/>
    <w:rsid w:val="008529C6"/>
    <w:pPr>
      <w:pBdr>
        <w:left w:val="single" w:sz="8"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3">
    <w:name w:val="xl83"/>
    <w:basedOn w:val="Norml"/>
    <w:rsid w:val="008529C6"/>
    <w:pPr>
      <w:pBdr>
        <w:top w:val="single" w:sz="4" w:space="0" w:color="auto"/>
        <w:left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4">
    <w:name w:val="xl84"/>
    <w:basedOn w:val="Norml"/>
    <w:rsid w:val="008529C6"/>
    <w:pPr>
      <w:pBdr>
        <w:top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5">
    <w:name w:val="xl85"/>
    <w:basedOn w:val="Norml"/>
    <w:rsid w:val="008529C6"/>
    <w:pPr>
      <w:pBdr>
        <w:top w:val="single" w:sz="4" w:space="0" w:color="auto"/>
        <w:left w:val="single" w:sz="8" w:space="0" w:color="auto"/>
        <w:bottom w:val="single" w:sz="4" w:space="0" w:color="auto"/>
      </w:pBdr>
      <w:suppressAutoHyphens w:val="0"/>
      <w:spacing w:before="100" w:beforeAutospacing="1" w:after="100" w:afterAutospacing="1"/>
    </w:pPr>
    <w:rPr>
      <w:rFonts w:ascii="Arial CE" w:hAnsi="Arial CE"/>
      <w:b/>
      <w:bCs/>
      <w:sz w:val="16"/>
      <w:szCs w:val="16"/>
    </w:rPr>
  </w:style>
  <w:style w:type="paragraph" w:customStyle="1" w:styleId="xl86">
    <w:name w:val="xl86"/>
    <w:basedOn w:val="Norml"/>
    <w:rsid w:val="008529C6"/>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7">
    <w:name w:val="xl87"/>
    <w:basedOn w:val="Norml"/>
    <w:rsid w:val="008529C6"/>
    <w:pPr>
      <w:pBdr>
        <w:top w:val="single" w:sz="4" w:space="0" w:color="auto"/>
        <w:bottom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8">
    <w:name w:val="xl88"/>
    <w:basedOn w:val="Norml"/>
    <w:rsid w:val="008529C6"/>
    <w:pPr>
      <w:pBdr>
        <w:left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9">
    <w:name w:val="xl89"/>
    <w:basedOn w:val="Norml"/>
    <w:rsid w:val="008529C6"/>
    <w:pPr>
      <w:suppressAutoHyphens w:val="0"/>
      <w:spacing w:before="100" w:beforeAutospacing="1" w:after="100" w:afterAutospacing="1"/>
      <w:textAlignment w:val="center"/>
    </w:pPr>
    <w:rPr>
      <w:rFonts w:ascii="Arial CE" w:hAnsi="Arial CE"/>
      <w:b/>
      <w:bCs/>
      <w:sz w:val="16"/>
      <w:szCs w:val="16"/>
    </w:rPr>
  </w:style>
  <w:style w:type="paragraph" w:customStyle="1" w:styleId="xl90">
    <w:name w:val="xl90"/>
    <w:basedOn w:val="Norml"/>
    <w:rsid w:val="008529C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E" w:hAnsi="Arial CE"/>
      <w:b/>
      <w:bCs/>
      <w:sz w:val="16"/>
      <w:szCs w:val="16"/>
    </w:rPr>
  </w:style>
  <w:style w:type="paragraph" w:customStyle="1" w:styleId="xl91">
    <w:name w:val="xl91"/>
    <w:basedOn w:val="Norml"/>
    <w:rsid w:val="008529C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Arial CE" w:hAnsi="Arial CE"/>
      <w:b/>
      <w:bCs/>
      <w:sz w:val="16"/>
      <w:szCs w:val="16"/>
    </w:rPr>
  </w:style>
  <w:style w:type="paragraph" w:customStyle="1" w:styleId="xl92">
    <w:name w:val="xl92"/>
    <w:basedOn w:val="Norml"/>
    <w:rsid w:val="008529C6"/>
    <w:pPr>
      <w:pBdr>
        <w:left w:val="single" w:sz="4" w:space="0" w:color="auto"/>
        <w:bottom w:val="single" w:sz="8" w:space="0" w:color="auto"/>
        <w:right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93">
    <w:name w:val="xl93"/>
    <w:basedOn w:val="Norml"/>
    <w:rsid w:val="008529C6"/>
    <w:pPr>
      <w:pBdr>
        <w:bottom w:val="single" w:sz="8" w:space="0" w:color="auto"/>
        <w:right w:val="single" w:sz="8" w:space="0" w:color="auto"/>
      </w:pBdr>
      <w:suppressAutoHyphens w:val="0"/>
      <w:spacing w:before="100" w:beforeAutospacing="1" w:after="100" w:afterAutospacing="1"/>
      <w:textAlignment w:val="center"/>
    </w:pPr>
    <w:rPr>
      <w:rFonts w:ascii="Arial CE" w:hAnsi="Arial CE"/>
      <w:sz w:val="18"/>
      <w:szCs w:val="18"/>
    </w:rPr>
  </w:style>
  <w:style w:type="paragraph" w:customStyle="1" w:styleId="xl94">
    <w:name w:val="xl94"/>
    <w:basedOn w:val="Norml"/>
    <w:rsid w:val="008529C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CE" w:hAnsi="Arial CE"/>
      <w:b/>
      <w:bCs/>
      <w:sz w:val="16"/>
      <w:szCs w:val="16"/>
    </w:rPr>
  </w:style>
  <w:style w:type="paragraph" w:customStyle="1" w:styleId="xl95">
    <w:name w:val="xl95"/>
    <w:basedOn w:val="Norml"/>
    <w:rsid w:val="008529C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sz w:val="16"/>
      <w:szCs w:val="16"/>
    </w:rPr>
  </w:style>
  <w:style w:type="paragraph" w:customStyle="1" w:styleId="xl96">
    <w:name w:val="xl96"/>
    <w:basedOn w:val="Norml"/>
    <w:rsid w:val="008529C6"/>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b/>
      <w:bCs/>
      <w:sz w:val="16"/>
      <w:szCs w:val="16"/>
    </w:rPr>
  </w:style>
  <w:style w:type="paragraph" w:customStyle="1" w:styleId="xl97">
    <w:name w:val="xl97"/>
    <w:basedOn w:val="Norml"/>
    <w:rsid w:val="008529C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rFonts w:ascii="Arial CE" w:hAnsi="Arial CE"/>
      <w:b/>
      <w:bCs/>
      <w:sz w:val="18"/>
      <w:szCs w:val="18"/>
    </w:rPr>
  </w:style>
  <w:style w:type="paragraph" w:customStyle="1" w:styleId="xl98">
    <w:name w:val="xl98"/>
    <w:basedOn w:val="Norml"/>
    <w:rsid w:val="008529C6"/>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99">
    <w:name w:val="xl99"/>
    <w:basedOn w:val="Norml"/>
    <w:rsid w:val="008529C6"/>
    <w:pPr>
      <w:pBdr>
        <w:left w:val="single" w:sz="4" w:space="0" w:color="auto"/>
        <w:right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100">
    <w:name w:val="xl100"/>
    <w:basedOn w:val="Norml"/>
    <w:rsid w:val="008529C6"/>
    <w:pPr>
      <w:pBdr>
        <w:right w:val="single" w:sz="8" w:space="0" w:color="auto"/>
      </w:pBdr>
      <w:suppressAutoHyphens w:val="0"/>
      <w:spacing w:before="100" w:beforeAutospacing="1" w:after="100" w:afterAutospacing="1"/>
      <w:textAlignment w:val="center"/>
    </w:pPr>
    <w:rPr>
      <w:rFonts w:ascii="Arial CE" w:hAnsi="Arial CE"/>
      <w:b/>
      <w:bCs/>
      <w:sz w:val="18"/>
      <w:szCs w:val="18"/>
    </w:rPr>
  </w:style>
  <w:style w:type="paragraph" w:customStyle="1" w:styleId="xl101">
    <w:name w:val="xl101"/>
    <w:basedOn w:val="Norml"/>
    <w:rsid w:val="008529C6"/>
    <w:pPr>
      <w:pBdr>
        <w:left w:val="single" w:sz="8" w:space="0" w:color="auto"/>
      </w:pBdr>
      <w:suppressAutoHyphens w:val="0"/>
      <w:spacing w:before="100" w:beforeAutospacing="1" w:after="100" w:afterAutospacing="1"/>
    </w:pPr>
    <w:rPr>
      <w:rFonts w:ascii="Arial CE" w:hAnsi="Arial CE"/>
      <w:b/>
      <w:bCs/>
      <w:sz w:val="16"/>
      <w:szCs w:val="16"/>
    </w:rPr>
  </w:style>
  <w:style w:type="paragraph" w:customStyle="1" w:styleId="xl102">
    <w:name w:val="xl102"/>
    <w:basedOn w:val="Norml"/>
    <w:rsid w:val="008529C6"/>
    <w:pPr>
      <w:pBdr>
        <w:top w:val="single" w:sz="4" w:space="0" w:color="auto"/>
        <w:left w:val="single" w:sz="4" w:space="0" w:color="auto"/>
        <w:bottom w:val="single" w:sz="4" w:space="0" w:color="auto"/>
      </w:pBdr>
      <w:suppressAutoHyphens w:val="0"/>
      <w:spacing w:before="100" w:beforeAutospacing="1" w:after="100" w:afterAutospacing="1"/>
    </w:pPr>
    <w:rPr>
      <w:rFonts w:ascii="Arial CE" w:hAnsi="Arial CE"/>
      <w:b/>
      <w:bCs/>
      <w:sz w:val="16"/>
      <w:szCs w:val="16"/>
    </w:rPr>
  </w:style>
  <w:style w:type="paragraph" w:customStyle="1" w:styleId="xl103">
    <w:name w:val="xl103"/>
    <w:basedOn w:val="Norml"/>
    <w:rsid w:val="008529C6"/>
    <w:pPr>
      <w:pBdr>
        <w:top w:val="single" w:sz="4" w:space="0" w:color="auto"/>
        <w:bottom w:val="single" w:sz="4" w:space="0" w:color="auto"/>
      </w:pBdr>
      <w:suppressAutoHyphens w:val="0"/>
      <w:spacing w:before="100" w:beforeAutospacing="1" w:after="100" w:afterAutospacing="1"/>
    </w:pPr>
    <w:rPr>
      <w:rFonts w:ascii="Arial CE" w:hAnsi="Arial CE"/>
      <w:b/>
      <w:bCs/>
      <w:sz w:val="16"/>
      <w:szCs w:val="16"/>
    </w:rPr>
  </w:style>
  <w:style w:type="paragraph" w:customStyle="1" w:styleId="xl104">
    <w:name w:val="xl104"/>
    <w:basedOn w:val="Norml"/>
    <w:rsid w:val="008529C6"/>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105">
    <w:name w:val="xl105"/>
    <w:basedOn w:val="Norml"/>
    <w:rsid w:val="008529C6"/>
    <w:pPr>
      <w:pBdr>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106">
    <w:name w:val="xl106"/>
    <w:basedOn w:val="Norml"/>
    <w:rsid w:val="008529C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CE" w:hAnsi="Arial CE"/>
      <w:b/>
      <w:bCs/>
      <w:sz w:val="16"/>
      <w:szCs w:val="16"/>
    </w:rPr>
  </w:style>
  <w:style w:type="paragraph" w:customStyle="1" w:styleId="xl107">
    <w:name w:val="xl107"/>
    <w:basedOn w:val="Norml"/>
    <w:rsid w:val="008529C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Arial CE" w:hAnsi="Arial CE"/>
      <w:b/>
      <w:bCs/>
      <w:sz w:val="18"/>
      <w:szCs w:val="18"/>
    </w:rPr>
  </w:style>
  <w:style w:type="paragraph" w:customStyle="1" w:styleId="xl108">
    <w:name w:val="xl108"/>
    <w:basedOn w:val="Norml"/>
    <w:rsid w:val="008529C6"/>
    <w:pPr>
      <w:pBdr>
        <w:left w:val="single" w:sz="4" w:space="0" w:color="auto"/>
        <w:bottom w:val="single" w:sz="4" w:space="0" w:color="auto"/>
        <w:right w:val="single" w:sz="8" w:space="0" w:color="auto"/>
      </w:pBdr>
      <w:suppressAutoHyphens w:val="0"/>
      <w:spacing w:before="100" w:beforeAutospacing="1" w:after="100" w:afterAutospacing="1"/>
      <w:textAlignment w:val="center"/>
    </w:pPr>
    <w:rPr>
      <w:rFonts w:ascii="Arial CE" w:hAnsi="Arial CE"/>
      <w:b/>
      <w:bCs/>
      <w:sz w:val="18"/>
      <w:szCs w:val="18"/>
    </w:rPr>
  </w:style>
  <w:style w:type="paragraph" w:customStyle="1" w:styleId="xl109">
    <w:name w:val="xl109"/>
    <w:basedOn w:val="Norml"/>
    <w:rsid w:val="008529C6"/>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110">
    <w:name w:val="xl110"/>
    <w:basedOn w:val="Norml"/>
    <w:rsid w:val="008529C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111">
    <w:name w:val="xl111"/>
    <w:basedOn w:val="Norml"/>
    <w:rsid w:val="008529C6"/>
    <w:pPr>
      <w:pBdr>
        <w:top w:val="single" w:sz="4" w:space="0" w:color="auto"/>
        <w:bottom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112">
    <w:name w:val="xl112"/>
    <w:basedOn w:val="Norml"/>
    <w:rsid w:val="008529C6"/>
    <w:pPr>
      <w:pBdr>
        <w:bottom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113">
    <w:name w:val="xl113"/>
    <w:basedOn w:val="Norml"/>
    <w:rsid w:val="008529C6"/>
    <w:pPr>
      <w:pBdr>
        <w:bottom w:val="single" w:sz="8" w:space="0" w:color="auto"/>
      </w:pBdr>
      <w:suppressAutoHyphens w:val="0"/>
      <w:spacing w:before="100" w:beforeAutospacing="1" w:after="100" w:afterAutospacing="1"/>
      <w:jc w:val="center"/>
      <w:textAlignment w:val="top"/>
    </w:pPr>
    <w:rPr>
      <w:rFonts w:ascii="Arial CE" w:hAnsi="Arial CE"/>
      <w:b/>
      <w:bCs/>
      <w:szCs w:val="24"/>
    </w:rPr>
  </w:style>
  <w:style w:type="numbering" w:customStyle="1" w:styleId="Nemlista2">
    <w:name w:val="Nem lista2"/>
    <w:next w:val="Nemlista"/>
    <w:uiPriority w:val="99"/>
    <w:semiHidden/>
    <w:unhideWhenUsed/>
    <w:rsid w:val="008529C6"/>
  </w:style>
  <w:style w:type="paragraph" w:styleId="Buborkszveg">
    <w:name w:val="Balloon Text"/>
    <w:basedOn w:val="Norml"/>
    <w:link w:val="BuborkszvegChar"/>
    <w:uiPriority w:val="99"/>
    <w:semiHidden/>
    <w:unhideWhenUsed/>
    <w:rsid w:val="008529C6"/>
    <w:rPr>
      <w:rFonts w:ascii="Tahoma" w:hAnsi="Tahoma" w:cs="Tahoma"/>
      <w:sz w:val="16"/>
      <w:szCs w:val="16"/>
    </w:rPr>
  </w:style>
  <w:style w:type="character" w:customStyle="1" w:styleId="BuborkszvegChar">
    <w:name w:val="Buborékszöveg Char"/>
    <w:basedOn w:val="Bekezdsalapbettpusa"/>
    <w:link w:val="Buborkszveg"/>
    <w:uiPriority w:val="99"/>
    <w:semiHidden/>
    <w:rsid w:val="008529C6"/>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29C6"/>
    <w:pPr>
      <w:suppressAutoHyphens/>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semiHidden/>
    <w:rsid w:val="008529C6"/>
    <w:pPr>
      <w:tabs>
        <w:tab w:val="center" w:pos="4536"/>
        <w:tab w:val="right" w:pos="9072"/>
      </w:tabs>
      <w:suppressAutoHyphens w:val="0"/>
    </w:pPr>
    <w:rPr>
      <w:szCs w:val="24"/>
    </w:rPr>
  </w:style>
  <w:style w:type="character" w:customStyle="1" w:styleId="lfejChar">
    <w:name w:val="Élőfej Char"/>
    <w:basedOn w:val="Bekezdsalapbettpusa"/>
    <w:link w:val="lfej"/>
    <w:semiHidden/>
    <w:rsid w:val="008529C6"/>
    <w:rPr>
      <w:rFonts w:ascii="Times New Roman" w:eastAsia="Times New Roman" w:hAnsi="Times New Roman" w:cs="Times New Roman"/>
      <w:sz w:val="24"/>
      <w:szCs w:val="24"/>
      <w:lang w:eastAsia="hu-HU"/>
    </w:rPr>
  </w:style>
  <w:style w:type="character" w:styleId="Oldalszm">
    <w:name w:val="page number"/>
    <w:basedOn w:val="Bekezdsalapbettpusa"/>
    <w:semiHidden/>
    <w:rsid w:val="008529C6"/>
  </w:style>
  <w:style w:type="numbering" w:customStyle="1" w:styleId="Nemlista1">
    <w:name w:val="Nem lista1"/>
    <w:next w:val="Nemlista"/>
    <w:uiPriority w:val="99"/>
    <w:semiHidden/>
    <w:unhideWhenUsed/>
    <w:rsid w:val="008529C6"/>
  </w:style>
  <w:style w:type="numbering" w:customStyle="1" w:styleId="Nemlista11">
    <w:name w:val="Nem lista11"/>
    <w:next w:val="Nemlista"/>
    <w:uiPriority w:val="99"/>
    <w:semiHidden/>
    <w:unhideWhenUsed/>
    <w:rsid w:val="008529C6"/>
  </w:style>
  <w:style w:type="character" w:styleId="Hiperhivatkozs">
    <w:name w:val="Hyperlink"/>
    <w:basedOn w:val="Bekezdsalapbettpusa"/>
    <w:uiPriority w:val="99"/>
    <w:semiHidden/>
    <w:unhideWhenUsed/>
    <w:rsid w:val="008529C6"/>
    <w:rPr>
      <w:color w:val="0563C1"/>
      <w:u w:val="single"/>
    </w:rPr>
  </w:style>
  <w:style w:type="character" w:styleId="Mrltotthiperhivatkozs">
    <w:name w:val="FollowedHyperlink"/>
    <w:basedOn w:val="Bekezdsalapbettpusa"/>
    <w:uiPriority w:val="99"/>
    <w:semiHidden/>
    <w:unhideWhenUsed/>
    <w:rsid w:val="008529C6"/>
    <w:rPr>
      <w:color w:val="954F72"/>
      <w:u w:val="single"/>
    </w:rPr>
  </w:style>
  <w:style w:type="paragraph" w:customStyle="1" w:styleId="xl65">
    <w:name w:val="xl65"/>
    <w:basedOn w:val="Norml"/>
    <w:rsid w:val="008529C6"/>
    <w:pPr>
      <w:suppressAutoHyphens w:val="0"/>
      <w:spacing w:before="100" w:beforeAutospacing="1" w:after="100" w:afterAutospacing="1"/>
      <w:jc w:val="right"/>
    </w:pPr>
    <w:rPr>
      <w:szCs w:val="24"/>
    </w:rPr>
  </w:style>
  <w:style w:type="paragraph" w:customStyle="1" w:styleId="xl66">
    <w:name w:val="xl66"/>
    <w:basedOn w:val="Norml"/>
    <w:rsid w:val="008529C6"/>
    <w:pPr>
      <w:suppressAutoHyphens w:val="0"/>
      <w:spacing w:before="100" w:beforeAutospacing="1" w:after="100" w:afterAutospacing="1"/>
      <w:jc w:val="center"/>
    </w:pPr>
    <w:rPr>
      <w:szCs w:val="24"/>
    </w:rPr>
  </w:style>
  <w:style w:type="paragraph" w:customStyle="1" w:styleId="xl67">
    <w:name w:val="xl67"/>
    <w:basedOn w:val="Norml"/>
    <w:rsid w:val="008529C6"/>
    <w:pPr>
      <w:suppressAutoHyphens w:val="0"/>
      <w:spacing w:before="100" w:beforeAutospacing="1" w:after="100" w:afterAutospacing="1"/>
      <w:jc w:val="center"/>
      <w:textAlignment w:val="center"/>
    </w:pPr>
    <w:rPr>
      <w:rFonts w:ascii="Arial CE" w:hAnsi="Arial CE"/>
      <w:b/>
      <w:bCs/>
      <w:szCs w:val="24"/>
    </w:rPr>
  </w:style>
  <w:style w:type="paragraph" w:customStyle="1" w:styleId="xl68">
    <w:name w:val="xl68"/>
    <w:basedOn w:val="Norml"/>
    <w:rsid w:val="008529C6"/>
    <w:pPr>
      <w:pBdr>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69">
    <w:name w:val="xl69"/>
    <w:basedOn w:val="Norml"/>
    <w:rsid w:val="008529C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70">
    <w:name w:val="xl70"/>
    <w:basedOn w:val="Norml"/>
    <w:rsid w:val="008529C6"/>
    <w:pPr>
      <w:pBdr>
        <w:bottom w:val="single" w:sz="4" w:space="0" w:color="auto"/>
        <w:right w:val="single" w:sz="8" w:space="0" w:color="auto"/>
      </w:pBdr>
      <w:suppressAutoHyphens w:val="0"/>
      <w:spacing w:before="100" w:beforeAutospacing="1" w:after="100" w:afterAutospacing="1"/>
      <w:textAlignment w:val="center"/>
    </w:pPr>
    <w:rPr>
      <w:rFonts w:ascii="Arial CE" w:hAnsi="Arial CE"/>
      <w:sz w:val="18"/>
      <w:szCs w:val="18"/>
    </w:rPr>
  </w:style>
  <w:style w:type="paragraph" w:customStyle="1" w:styleId="xl71">
    <w:name w:val="xl71"/>
    <w:basedOn w:val="Norml"/>
    <w:rsid w:val="008529C6"/>
    <w:pPr>
      <w:pBdr>
        <w:top w:val="single" w:sz="4" w:space="0" w:color="auto"/>
        <w:left w:val="single" w:sz="8" w:space="0" w:color="auto"/>
        <w:bottom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72">
    <w:name w:val="xl72"/>
    <w:basedOn w:val="Norml"/>
    <w:rsid w:val="008529C6"/>
    <w:pPr>
      <w:pBdr>
        <w:top w:val="single" w:sz="4" w:space="0" w:color="auto"/>
        <w:left w:val="single" w:sz="8" w:space="0" w:color="auto"/>
      </w:pBdr>
      <w:suppressAutoHyphens w:val="0"/>
      <w:spacing w:before="100" w:beforeAutospacing="1" w:after="100" w:afterAutospacing="1"/>
      <w:textAlignment w:val="center"/>
    </w:pPr>
    <w:rPr>
      <w:rFonts w:ascii="Arial CE" w:hAnsi="Arial CE"/>
      <w:sz w:val="16"/>
      <w:szCs w:val="16"/>
    </w:rPr>
  </w:style>
  <w:style w:type="paragraph" w:customStyle="1" w:styleId="xl73">
    <w:name w:val="xl73"/>
    <w:basedOn w:val="Norml"/>
    <w:rsid w:val="008529C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74">
    <w:name w:val="xl74"/>
    <w:basedOn w:val="Norml"/>
    <w:rsid w:val="008529C6"/>
    <w:pPr>
      <w:pBdr>
        <w:bottom w:val="single" w:sz="4" w:space="0" w:color="auto"/>
        <w:right w:val="single" w:sz="8" w:space="0" w:color="auto"/>
      </w:pBdr>
      <w:suppressAutoHyphens w:val="0"/>
      <w:spacing w:before="100" w:beforeAutospacing="1" w:after="100" w:afterAutospacing="1"/>
      <w:textAlignment w:val="center"/>
    </w:pPr>
    <w:rPr>
      <w:rFonts w:ascii="Arial CE" w:hAnsi="Arial CE"/>
      <w:b/>
      <w:bCs/>
      <w:sz w:val="18"/>
      <w:szCs w:val="18"/>
    </w:rPr>
  </w:style>
  <w:style w:type="paragraph" w:customStyle="1" w:styleId="xl75">
    <w:name w:val="xl75"/>
    <w:basedOn w:val="Norml"/>
    <w:rsid w:val="008529C6"/>
    <w:pPr>
      <w:pBdr>
        <w:left w:val="single" w:sz="8" w:space="0" w:color="auto"/>
        <w:bottom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76">
    <w:name w:val="xl76"/>
    <w:basedOn w:val="Norml"/>
    <w:rsid w:val="008529C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77">
    <w:name w:val="xl77"/>
    <w:basedOn w:val="Norml"/>
    <w:rsid w:val="008529C6"/>
    <w:pPr>
      <w:pBdr>
        <w:left w:val="single" w:sz="8" w:space="0" w:color="auto"/>
      </w:pBdr>
      <w:suppressAutoHyphens w:val="0"/>
      <w:spacing w:before="100" w:beforeAutospacing="1" w:after="100" w:afterAutospacing="1"/>
      <w:textAlignment w:val="center"/>
    </w:pPr>
    <w:rPr>
      <w:rFonts w:ascii="Arial CE" w:hAnsi="Arial CE"/>
      <w:sz w:val="16"/>
      <w:szCs w:val="16"/>
    </w:rPr>
  </w:style>
  <w:style w:type="paragraph" w:customStyle="1" w:styleId="xl78">
    <w:name w:val="xl78"/>
    <w:basedOn w:val="Norml"/>
    <w:rsid w:val="008529C6"/>
    <w:pPr>
      <w:pBdr>
        <w:top w:val="single" w:sz="4" w:space="0" w:color="auto"/>
        <w:left w:val="single" w:sz="8" w:space="0" w:color="auto"/>
        <w:right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79">
    <w:name w:val="xl79"/>
    <w:basedOn w:val="Norml"/>
    <w:rsid w:val="008529C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0">
    <w:name w:val="xl80"/>
    <w:basedOn w:val="Norml"/>
    <w:rsid w:val="008529C6"/>
    <w:pPr>
      <w:pBdr>
        <w:left w:val="single" w:sz="8" w:space="0" w:color="auto"/>
        <w:bottom w:val="single" w:sz="8" w:space="0" w:color="auto"/>
        <w:right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1">
    <w:name w:val="xl81"/>
    <w:basedOn w:val="Norml"/>
    <w:rsid w:val="008529C6"/>
    <w:pPr>
      <w:pBdr>
        <w:left w:val="single" w:sz="8" w:space="0" w:color="auto"/>
        <w:bottom w:val="single" w:sz="4" w:space="0" w:color="auto"/>
        <w:right w:val="single" w:sz="4" w:space="0" w:color="auto"/>
      </w:pBdr>
      <w:suppressAutoHyphens w:val="0"/>
      <w:spacing w:before="100" w:beforeAutospacing="1" w:after="100" w:afterAutospacing="1"/>
    </w:pPr>
    <w:rPr>
      <w:rFonts w:ascii="Arial CE" w:hAnsi="Arial CE"/>
      <w:b/>
      <w:bCs/>
      <w:sz w:val="16"/>
      <w:szCs w:val="16"/>
    </w:rPr>
  </w:style>
  <w:style w:type="paragraph" w:customStyle="1" w:styleId="xl82">
    <w:name w:val="xl82"/>
    <w:basedOn w:val="Norml"/>
    <w:rsid w:val="008529C6"/>
    <w:pPr>
      <w:pBdr>
        <w:left w:val="single" w:sz="8"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3">
    <w:name w:val="xl83"/>
    <w:basedOn w:val="Norml"/>
    <w:rsid w:val="008529C6"/>
    <w:pPr>
      <w:pBdr>
        <w:top w:val="single" w:sz="4" w:space="0" w:color="auto"/>
        <w:left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4">
    <w:name w:val="xl84"/>
    <w:basedOn w:val="Norml"/>
    <w:rsid w:val="008529C6"/>
    <w:pPr>
      <w:pBdr>
        <w:top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5">
    <w:name w:val="xl85"/>
    <w:basedOn w:val="Norml"/>
    <w:rsid w:val="008529C6"/>
    <w:pPr>
      <w:pBdr>
        <w:top w:val="single" w:sz="4" w:space="0" w:color="auto"/>
        <w:left w:val="single" w:sz="8" w:space="0" w:color="auto"/>
        <w:bottom w:val="single" w:sz="4" w:space="0" w:color="auto"/>
      </w:pBdr>
      <w:suppressAutoHyphens w:val="0"/>
      <w:spacing w:before="100" w:beforeAutospacing="1" w:after="100" w:afterAutospacing="1"/>
    </w:pPr>
    <w:rPr>
      <w:rFonts w:ascii="Arial CE" w:hAnsi="Arial CE"/>
      <w:b/>
      <w:bCs/>
      <w:sz w:val="16"/>
      <w:szCs w:val="16"/>
    </w:rPr>
  </w:style>
  <w:style w:type="paragraph" w:customStyle="1" w:styleId="xl86">
    <w:name w:val="xl86"/>
    <w:basedOn w:val="Norml"/>
    <w:rsid w:val="008529C6"/>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7">
    <w:name w:val="xl87"/>
    <w:basedOn w:val="Norml"/>
    <w:rsid w:val="008529C6"/>
    <w:pPr>
      <w:pBdr>
        <w:top w:val="single" w:sz="4" w:space="0" w:color="auto"/>
        <w:bottom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8">
    <w:name w:val="xl88"/>
    <w:basedOn w:val="Norml"/>
    <w:rsid w:val="008529C6"/>
    <w:pPr>
      <w:pBdr>
        <w:left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89">
    <w:name w:val="xl89"/>
    <w:basedOn w:val="Norml"/>
    <w:rsid w:val="008529C6"/>
    <w:pPr>
      <w:suppressAutoHyphens w:val="0"/>
      <w:spacing w:before="100" w:beforeAutospacing="1" w:after="100" w:afterAutospacing="1"/>
      <w:textAlignment w:val="center"/>
    </w:pPr>
    <w:rPr>
      <w:rFonts w:ascii="Arial CE" w:hAnsi="Arial CE"/>
      <w:b/>
      <w:bCs/>
      <w:sz w:val="16"/>
      <w:szCs w:val="16"/>
    </w:rPr>
  </w:style>
  <w:style w:type="paragraph" w:customStyle="1" w:styleId="xl90">
    <w:name w:val="xl90"/>
    <w:basedOn w:val="Norml"/>
    <w:rsid w:val="008529C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E" w:hAnsi="Arial CE"/>
      <w:b/>
      <w:bCs/>
      <w:sz w:val="16"/>
      <w:szCs w:val="16"/>
    </w:rPr>
  </w:style>
  <w:style w:type="paragraph" w:customStyle="1" w:styleId="xl91">
    <w:name w:val="xl91"/>
    <w:basedOn w:val="Norml"/>
    <w:rsid w:val="008529C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Arial CE" w:hAnsi="Arial CE"/>
      <w:b/>
      <w:bCs/>
      <w:sz w:val="16"/>
      <w:szCs w:val="16"/>
    </w:rPr>
  </w:style>
  <w:style w:type="paragraph" w:customStyle="1" w:styleId="xl92">
    <w:name w:val="xl92"/>
    <w:basedOn w:val="Norml"/>
    <w:rsid w:val="008529C6"/>
    <w:pPr>
      <w:pBdr>
        <w:left w:val="single" w:sz="4" w:space="0" w:color="auto"/>
        <w:bottom w:val="single" w:sz="8" w:space="0" w:color="auto"/>
        <w:right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93">
    <w:name w:val="xl93"/>
    <w:basedOn w:val="Norml"/>
    <w:rsid w:val="008529C6"/>
    <w:pPr>
      <w:pBdr>
        <w:bottom w:val="single" w:sz="8" w:space="0" w:color="auto"/>
        <w:right w:val="single" w:sz="8" w:space="0" w:color="auto"/>
      </w:pBdr>
      <w:suppressAutoHyphens w:val="0"/>
      <w:spacing w:before="100" w:beforeAutospacing="1" w:after="100" w:afterAutospacing="1"/>
      <w:textAlignment w:val="center"/>
    </w:pPr>
    <w:rPr>
      <w:rFonts w:ascii="Arial CE" w:hAnsi="Arial CE"/>
      <w:sz w:val="18"/>
      <w:szCs w:val="18"/>
    </w:rPr>
  </w:style>
  <w:style w:type="paragraph" w:customStyle="1" w:styleId="xl94">
    <w:name w:val="xl94"/>
    <w:basedOn w:val="Norml"/>
    <w:rsid w:val="008529C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CE" w:hAnsi="Arial CE"/>
      <w:b/>
      <w:bCs/>
      <w:sz w:val="16"/>
      <w:szCs w:val="16"/>
    </w:rPr>
  </w:style>
  <w:style w:type="paragraph" w:customStyle="1" w:styleId="xl95">
    <w:name w:val="xl95"/>
    <w:basedOn w:val="Norml"/>
    <w:rsid w:val="008529C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sz w:val="16"/>
      <w:szCs w:val="16"/>
    </w:rPr>
  </w:style>
  <w:style w:type="paragraph" w:customStyle="1" w:styleId="xl96">
    <w:name w:val="xl96"/>
    <w:basedOn w:val="Norml"/>
    <w:rsid w:val="008529C6"/>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b/>
      <w:bCs/>
      <w:sz w:val="16"/>
      <w:szCs w:val="16"/>
    </w:rPr>
  </w:style>
  <w:style w:type="paragraph" w:customStyle="1" w:styleId="xl97">
    <w:name w:val="xl97"/>
    <w:basedOn w:val="Norml"/>
    <w:rsid w:val="008529C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rFonts w:ascii="Arial CE" w:hAnsi="Arial CE"/>
      <w:b/>
      <w:bCs/>
      <w:sz w:val="18"/>
      <w:szCs w:val="18"/>
    </w:rPr>
  </w:style>
  <w:style w:type="paragraph" w:customStyle="1" w:styleId="xl98">
    <w:name w:val="xl98"/>
    <w:basedOn w:val="Norml"/>
    <w:rsid w:val="008529C6"/>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99">
    <w:name w:val="xl99"/>
    <w:basedOn w:val="Norml"/>
    <w:rsid w:val="008529C6"/>
    <w:pPr>
      <w:pBdr>
        <w:left w:val="single" w:sz="4" w:space="0" w:color="auto"/>
        <w:right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100">
    <w:name w:val="xl100"/>
    <w:basedOn w:val="Norml"/>
    <w:rsid w:val="008529C6"/>
    <w:pPr>
      <w:pBdr>
        <w:right w:val="single" w:sz="8" w:space="0" w:color="auto"/>
      </w:pBdr>
      <w:suppressAutoHyphens w:val="0"/>
      <w:spacing w:before="100" w:beforeAutospacing="1" w:after="100" w:afterAutospacing="1"/>
      <w:textAlignment w:val="center"/>
    </w:pPr>
    <w:rPr>
      <w:rFonts w:ascii="Arial CE" w:hAnsi="Arial CE"/>
      <w:b/>
      <w:bCs/>
      <w:sz w:val="18"/>
      <w:szCs w:val="18"/>
    </w:rPr>
  </w:style>
  <w:style w:type="paragraph" w:customStyle="1" w:styleId="xl101">
    <w:name w:val="xl101"/>
    <w:basedOn w:val="Norml"/>
    <w:rsid w:val="008529C6"/>
    <w:pPr>
      <w:pBdr>
        <w:left w:val="single" w:sz="8" w:space="0" w:color="auto"/>
      </w:pBdr>
      <w:suppressAutoHyphens w:val="0"/>
      <w:spacing w:before="100" w:beforeAutospacing="1" w:after="100" w:afterAutospacing="1"/>
    </w:pPr>
    <w:rPr>
      <w:rFonts w:ascii="Arial CE" w:hAnsi="Arial CE"/>
      <w:b/>
      <w:bCs/>
      <w:sz w:val="16"/>
      <w:szCs w:val="16"/>
    </w:rPr>
  </w:style>
  <w:style w:type="paragraph" w:customStyle="1" w:styleId="xl102">
    <w:name w:val="xl102"/>
    <w:basedOn w:val="Norml"/>
    <w:rsid w:val="008529C6"/>
    <w:pPr>
      <w:pBdr>
        <w:top w:val="single" w:sz="4" w:space="0" w:color="auto"/>
        <w:left w:val="single" w:sz="4" w:space="0" w:color="auto"/>
        <w:bottom w:val="single" w:sz="4" w:space="0" w:color="auto"/>
      </w:pBdr>
      <w:suppressAutoHyphens w:val="0"/>
      <w:spacing w:before="100" w:beforeAutospacing="1" w:after="100" w:afterAutospacing="1"/>
    </w:pPr>
    <w:rPr>
      <w:rFonts w:ascii="Arial CE" w:hAnsi="Arial CE"/>
      <w:b/>
      <w:bCs/>
      <w:sz w:val="16"/>
      <w:szCs w:val="16"/>
    </w:rPr>
  </w:style>
  <w:style w:type="paragraph" w:customStyle="1" w:styleId="xl103">
    <w:name w:val="xl103"/>
    <w:basedOn w:val="Norml"/>
    <w:rsid w:val="008529C6"/>
    <w:pPr>
      <w:pBdr>
        <w:top w:val="single" w:sz="4" w:space="0" w:color="auto"/>
        <w:bottom w:val="single" w:sz="4" w:space="0" w:color="auto"/>
      </w:pBdr>
      <w:suppressAutoHyphens w:val="0"/>
      <w:spacing w:before="100" w:beforeAutospacing="1" w:after="100" w:afterAutospacing="1"/>
    </w:pPr>
    <w:rPr>
      <w:rFonts w:ascii="Arial CE" w:hAnsi="Arial CE"/>
      <w:b/>
      <w:bCs/>
      <w:sz w:val="16"/>
      <w:szCs w:val="16"/>
    </w:rPr>
  </w:style>
  <w:style w:type="paragraph" w:customStyle="1" w:styleId="xl104">
    <w:name w:val="xl104"/>
    <w:basedOn w:val="Norml"/>
    <w:rsid w:val="008529C6"/>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105">
    <w:name w:val="xl105"/>
    <w:basedOn w:val="Norml"/>
    <w:rsid w:val="008529C6"/>
    <w:pPr>
      <w:pBdr>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CE" w:hAnsi="Arial CE"/>
      <w:b/>
      <w:bCs/>
      <w:sz w:val="16"/>
      <w:szCs w:val="16"/>
    </w:rPr>
  </w:style>
  <w:style w:type="paragraph" w:customStyle="1" w:styleId="xl106">
    <w:name w:val="xl106"/>
    <w:basedOn w:val="Norml"/>
    <w:rsid w:val="008529C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CE" w:hAnsi="Arial CE"/>
      <w:b/>
      <w:bCs/>
      <w:sz w:val="16"/>
      <w:szCs w:val="16"/>
    </w:rPr>
  </w:style>
  <w:style w:type="paragraph" w:customStyle="1" w:styleId="xl107">
    <w:name w:val="xl107"/>
    <w:basedOn w:val="Norml"/>
    <w:rsid w:val="008529C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Arial CE" w:hAnsi="Arial CE"/>
      <w:b/>
      <w:bCs/>
      <w:sz w:val="18"/>
      <w:szCs w:val="18"/>
    </w:rPr>
  </w:style>
  <w:style w:type="paragraph" w:customStyle="1" w:styleId="xl108">
    <w:name w:val="xl108"/>
    <w:basedOn w:val="Norml"/>
    <w:rsid w:val="008529C6"/>
    <w:pPr>
      <w:pBdr>
        <w:left w:val="single" w:sz="4" w:space="0" w:color="auto"/>
        <w:bottom w:val="single" w:sz="4" w:space="0" w:color="auto"/>
        <w:right w:val="single" w:sz="8" w:space="0" w:color="auto"/>
      </w:pBdr>
      <w:suppressAutoHyphens w:val="0"/>
      <w:spacing w:before="100" w:beforeAutospacing="1" w:after="100" w:afterAutospacing="1"/>
      <w:textAlignment w:val="center"/>
    </w:pPr>
    <w:rPr>
      <w:rFonts w:ascii="Arial CE" w:hAnsi="Arial CE"/>
      <w:b/>
      <w:bCs/>
      <w:sz w:val="18"/>
      <w:szCs w:val="18"/>
    </w:rPr>
  </w:style>
  <w:style w:type="paragraph" w:customStyle="1" w:styleId="xl109">
    <w:name w:val="xl109"/>
    <w:basedOn w:val="Norml"/>
    <w:rsid w:val="008529C6"/>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110">
    <w:name w:val="xl110"/>
    <w:basedOn w:val="Norml"/>
    <w:rsid w:val="008529C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111">
    <w:name w:val="xl111"/>
    <w:basedOn w:val="Norml"/>
    <w:rsid w:val="008529C6"/>
    <w:pPr>
      <w:pBdr>
        <w:top w:val="single" w:sz="4" w:space="0" w:color="auto"/>
        <w:bottom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112">
    <w:name w:val="xl112"/>
    <w:basedOn w:val="Norml"/>
    <w:rsid w:val="008529C6"/>
    <w:pPr>
      <w:pBdr>
        <w:bottom w:val="single" w:sz="4" w:space="0" w:color="auto"/>
      </w:pBdr>
      <w:suppressAutoHyphens w:val="0"/>
      <w:spacing w:before="100" w:beforeAutospacing="1" w:after="100" w:afterAutospacing="1"/>
      <w:textAlignment w:val="center"/>
    </w:pPr>
    <w:rPr>
      <w:rFonts w:ascii="Arial CE" w:hAnsi="Arial CE"/>
      <w:sz w:val="16"/>
      <w:szCs w:val="16"/>
    </w:rPr>
  </w:style>
  <w:style w:type="paragraph" w:customStyle="1" w:styleId="xl113">
    <w:name w:val="xl113"/>
    <w:basedOn w:val="Norml"/>
    <w:rsid w:val="008529C6"/>
    <w:pPr>
      <w:pBdr>
        <w:bottom w:val="single" w:sz="8" w:space="0" w:color="auto"/>
      </w:pBdr>
      <w:suppressAutoHyphens w:val="0"/>
      <w:spacing w:before="100" w:beforeAutospacing="1" w:after="100" w:afterAutospacing="1"/>
      <w:jc w:val="center"/>
      <w:textAlignment w:val="top"/>
    </w:pPr>
    <w:rPr>
      <w:rFonts w:ascii="Arial CE" w:hAnsi="Arial CE"/>
      <w:b/>
      <w:bCs/>
      <w:szCs w:val="24"/>
    </w:rPr>
  </w:style>
  <w:style w:type="numbering" w:customStyle="1" w:styleId="Nemlista2">
    <w:name w:val="Nem lista2"/>
    <w:next w:val="Nemlista"/>
    <w:uiPriority w:val="99"/>
    <w:semiHidden/>
    <w:unhideWhenUsed/>
    <w:rsid w:val="008529C6"/>
  </w:style>
  <w:style w:type="paragraph" w:styleId="Buborkszveg">
    <w:name w:val="Balloon Text"/>
    <w:basedOn w:val="Norml"/>
    <w:link w:val="BuborkszvegChar"/>
    <w:uiPriority w:val="99"/>
    <w:semiHidden/>
    <w:unhideWhenUsed/>
    <w:rsid w:val="008529C6"/>
    <w:rPr>
      <w:rFonts w:ascii="Tahoma" w:hAnsi="Tahoma" w:cs="Tahoma"/>
      <w:sz w:val="16"/>
      <w:szCs w:val="16"/>
    </w:rPr>
  </w:style>
  <w:style w:type="character" w:customStyle="1" w:styleId="BuborkszvegChar">
    <w:name w:val="Buborékszöveg Char"/>
    <w:basedOn w:val="Bekezdsalapbettpusa"/>
    <w:link w:val="Buborkszveg"/>
    <w:uiPriority w:val="99"/>
    <w:semiHidden/>
    <w:rsid w:val="008529C6"/>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7601</Words>
  <Characters>52450</Characters>
  <Application>Microsoft Office Word</Application>
  <DocSecurity>0</DocSecurity>
  <Lines>437</Lines>
  <Paragraphs>119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Herczegné Ródon Ilona</dc:creator>
  <cp:lastModifiedBy>Herczegné Ródon Ilona</cp:lastModifiedBy>
  <cp:revision>1</cp:revision>
  <dcterms:created xsi:type="dcterms:W3CDTF">2020-05-28T12:37:00Z</dcterms:created>
  <dcterms:modified xsi:type="dcterms:W3CDTF">2020-05-28T12:50:00Z</dcterms:modified>
</cp:coreProperties>
</file>